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05" w:rsidRDefault="00731205" w:rsidP="00731205">
      <w:pPr>
        <w:pStyle w:val="Heading1"/>
      </w:pPr>
      <w:bookmarkStart w:id="0" w:name="_Toc216677166"/>
      <w:bookmarkStart w:id="1" w:name="_Toc216677159"/>
      <w:r>
        <w:t>Title</w:t>
      </w:r>
      <w:bookmarkEnd w:id="1"/>
    </w:p>
    <w:p w:rsidR="00731205" w:rsidRPr="00E57D78" w:rsidRDefault="00731205" w:rsidP="00731205">
      <w:pPr>
        <w:rPr>
          <w:sz w:val="24"/>
          <w:szCs w:val="24"/>
        </w:rPr>
      </w:pPr>
      <w:r w:rsidRPr="00E57D78">
        <w:rPr>
          <w:sz w:val="24"/>
          <w:szCs w:val="24"/>
        </w:rPr>
        <w:t>Does Foot Posture Index predict injury incidence rate and severity in recreational runners?</w:t>
      </w:r>
      <w:r w:rsidRPr="00E57D78" w:rsidDel="008F75B6">
        <w:rPr>
          <w:sz w:val="24"/>
          <w:szCs w:val="24"/>
        </w:rPr>
        <w:t xml:space="preserve"> </w:t>
      </w:r>
    </w:p>
    <w:p w:rsidR="00731205" w:rsidRPr="005932B8" w:rsidRDefault="00731205" w:rsidP="00731205">
      <w:pPr>
        <w:pStyle w:val="Heading1"/>
        <w:spacing w:line="360" w:lineRule="auto"/>
        <w:rPr>
          <w:rFonts w:ascii="Calibri" w:hAnsi="Calibri"/>
        </w:rPr>
      </w:pPr>
      <w:bookmarkStart w:id="2" w:name="_Toc216677160"/>
      <w:r>
        <w:t>Abstract</w:t>
      </w:r>
      <w:bookmarkEnd w:id="2"/>
    </w:p>
    <w:p w:rsidR="00731205" w:rsidRDefault="00731205" w:rsidP="00731205">
      <w:pPr>
        <w:pStyle w:val="Heading3"/>
        <w:spacing w:line="360" w:lineRule="auto"/>
      </w:pPr>
      <w:bookmarkStart w:id="3" w:name="_Toc216677161"/>
      <w:r>
        <w:t>Purpose</w:t>
      </w:r>
      <w:bookmarkEnd w:id="3"/>
    </w:p>
    <w:p w:rsidR="00731205" w:rsidRPr="00EB71A8" w:rsidRDefault="00731205" w:rsidP="00731205">
      <w:pPr>
        <w:spacing w:line="360" w:lineRule="auto"/>
        <w:rPr>
          <w:sz w:val="24"/>
          <w:szCs w:val="24"/>
        </w:rPr>
      </w:pPr>
      <w:r w:rsidRPr="00EB71A8">
        <w:rPr>
          <w:sz w:val="24"/>
          <w:szCs w:val="24"/>
        </w:rPr>
        <w:t xml:space="preserve">The purpose of this research project is to see if there is a relationship between Foot Posture Index (FPI), </w:t>
      </w:r>
      <w:r>
        <w:rPr>
          <w:sz w:val="24"/>
          <w:szCs w:val="24"/>
        </w:rPr>
        <w:t>injury incidence rate (IR)</w:t>
      </w:r>
      <w:r w:rsidRPr="00EB71A8">
        <w:rPr>
          <w:sz w:val="24"/>
          <w:szCs w:val="24"/>
        </w:rPr>
        <w:t xml:space="preserve"> and severity</w:t>
      </w:r>
      <w:r>
        <w:rPr>
          <w:sz w:val="24"/>
          <w:szCs w:val="24"/>
        </w:rPr>
        <w:t xml:space="preserve"> (TOTALDL)</w:t>
      </w:r>
      <w:r w:rsidRPr="00EB71A8">
        <w:rPr>
          <w:sz w:val="24"/>
          <w:szCs w:val="24"/>
        </w:rPr>
        <w:t xml:space="preserve"> in recreational runners.</w:t>
      </w:r>
    </w:p>
    <w:p w:rsidR="00731205" w:rsidRDefault="00731205" w:rsidP="00731205">
      <w:pPr>
        <w:pStyle w:val="Heading3"/>
        <w:spacing w:line="360" w:lineRule="auto"/>
      </w:pPr>
      <w:bookmarkStart w:id="4" w:name="_Toc216677162"/>
      <w:r>
        <w:t>Design/methodology/approach</w:t>
      </w:r>
      <w:bookmarkEnd w:id="4"/>
    </w:p>
    <w:p w:rsidR="00731205" w:rsidRPr="00EB71A8" w:rsidRDefault="00731205" w:rsidP="00731205">
      <w:pPr>
        <w:spacing w:line="360" w:lineRule="auto"/>
        <w:rPr>
          <w:sz w:val="24"/>
          <w:szCs w:val="24"/>
        </w:rPr>
      </w:pPr>
      <w:r w:rsidRPr="00EB71A8">
        <w:rPr>
          <w:sz w:val="24"/>
          <w:szCs w:val="24"/>
        </w:rPr>
        <w:t xml:space="preserve">115 recreational runners (defined as men running under 40 miles per week and women running under 30) completed a retrospective questionnaire regarding training volume, rest days and injury in the previous year. FPI scores were taken and the results were analysed. Male and </w:t>
      </w:r>
      <w:r>
        <w:rPr>
          <w:sz w:val="24"/>
          <w:szCs w:val="24"/>
        </w:rPr>
        <w:t>f</w:t>
      </w:r>
      <w:r w:rsidRPr="00EB71A8">
        <w:rPr>
          <w:sz w:val="24"/>
          <w:szCs w:val="24"/>
        </w:rPr>
        <w:t xml:space="preserve">emale data was analysed separately to avoid biomechanical differences confounding the data. </w:t>
      </w:r>
    </w:p>
    <w:p w:rsidR="00731205" w:rsidRDefault="00731205" w:rsidP="00731205">
      <w:pPr>
        <w:pStyle w:val="Heading3"/>
        <w:spacing w:line="360" w:lineRule="auto"/>
      </w:pPr>
      <w:bookmarkStart w:id="5" w:name="_Toc216677163"/>
      <w:r>
        <w:t>Findings</w:t>
      </w:r>
      <w:bookmarkEnd w:id="5"/>
    </w:p>
    <w:p w:rsidR="00731205" w:rsidRDefault="00731205" w:rsidP="00731205">
      <w:pPr>
        <w:spacing w:line="360" w:lineRule="auto"/>
        <w:rPr>
          <w:sz w:val="24"/>
          <w:szCs w:val="24"/>
        </w:rPr>
      </w:pPr>
      <w:r w:rsidRPr="00EB71A8">
        <w:rPr>
          <w:sz w:val="24"/>
          <w:szCs w:val="24"/>
        </w:rPr>
        <w:t>There appear</w:t>
      </w:r>
      <w:r>
        <w:rPr>
          <w:sz w:val="24"/>
          <w:szCs w:val="24"/>
        </w:rPr>
        <w:t>s</w:t>
      </w:r>
      <w:r w:rsidRPr="00EB71A8">
        <w:rPr>
          <w:sz w:val="24"/>
          <w:szCs w:val="24"/>
        </w:rPr>
        <w:t xml:space="preserve"> to be a relationship between</w:t>
      </w:r>
      <w:r>
        <w:rPr>
          <w:sz w:val="24"/>
          <w:szCs w:val="24"/>
        </w:rPr>
        <w:t xml:space="preserve"> </w:t>
      </w:r>
      <w:r w:rsidRPr="00EB71A8">
        <w:rPr>
          <w:sz w:val="24"/>
          <w:szCs w:val="24"/>
        </w:rPr>
        <w:t xml:space="preserve">FPI score and </w:t>
      </w:r>
      <w:r>
        <w:rPr>
          <w:sz w:val="24"/>
          <w:szCs w:val="24"/>
        </w:rPr>
        <w:t>injury incidence rate</w:t>
      </w:r>
      <w:r w:rsidRPr="00EB71A8" w:rsidDel="008F75B6">
        <w:rPr>
          <w:sz w:val="24"/>
          <w:szCs w:val="24"/>
        </w:rPr>
        <w:t xml:space="preserve"> </w:t>
      </w:r>
      <w:r w:rsidRPr="00EB71A8">
        <w:rPr>
          <w:sz w:val="24"/>
          <w:szCs w:val="24"/>
        </w:rPr>
        <w:t>and</w:t>
      </w:r>
      <w:r w:rsidRPr="008F75B6">
        <w:rPr>
          <w:sz w:val="24"/>
          <w:szCs w:val="24"/>
        </w:rPr>
        <w:t xml:space="preserve"> </w:t>
      </w:r>
      <w:r>
        <w:rPr>
          <w:sz w:val="24"/>
          <w:szCs w:val="24"/>
        </w:rPr>
        <w:t>severity in male and female recreational runners.  However the relationship is more significant for negative FPI scores than for positive FPI scores.  This is highlighted by the following statistical analyses:</w:t>
      </w:r>
    </w:p>
    <w:p w:rsidR="00731205" w:rsidRPr="00556E43" w:rsidRDefault="00731205" w:rsidP="00731205">
      <w:pPr>
        <w:pStyle w:val="ListParagraph"/>
        <w:numPr>
          <w:ilvl w:val="0"/>
          <w:numId w:val="4"/>
        </w:numPr>
        <w:spacing w:line="360" w:lineRule="auto"/>
        <w:rPr>
          <w:rFonts w:asciiTheme="minorHAnsi" w:hAnsiTheme="minorHAnsi"/>
        </w:rPr>
      </w:pPr>
      <w:r w:rsidRPr="00556E43">
        <w:rPr>
          <w:rFonts w:asciiTheme="minorHAnsi" w:hAnsiTheme="minorHAnsi"/>
          <w:b/>
        </w:rPr>
        <w:t>The more extreme the FPI score, the greater number of days training days lost to injury:</w:t>
      </w:r>
      <w:r w:rsidRPr="00556E43">
        <w:rPr>
          <w:rFonts w:asciiTheme="minorHAnsi" w:hAnsiTheme="minorHAnsi"/>
        </w:rPr>
        <w:t xml:space="preserve"> Analysis performed on FPI score and the total number of training days lost to injury (TOTALDL) showed R squared values of .637 (male) and .793 (female) calculated with quadratic regression.</w:t>
      </w:r>
    </w:p>
    <w:p w:rsidR="00731205" w:rsidRPr="00556E43" w:rsidRDefault="00731205" w:rsidP="00731205">
      <w:pPr>
        <w:pStyle w:val="ListParagraph"/>
        <w:numPr>
          <w:ilvl w:val="0"/>
          <w:numId w:val="4"/>
        </w:numPr>
        <w:spacing w:line="360" w:lineRule="auto"/>
        <w:rPr>
          <w:rFonts w:asciiTheme="minorHAnsi" w:hAnsiTheme="minorHAnsi"/>
        </w:rPr>
      </w:pPr>
      <w:r w:rsidRPr="00556E43">
        <w:rPr>
          <w:rFonts w:asciiTheme="minorHAnsi" w:hAnsiTheme="minorHAnsi"/>
          <w:b/>
        </w:rPr>
        <w:t>The more extreme the FPI score, the greater the injury incidence rate</w:t>
      </w:r>
      <w:r w:rsidRPr="00556E43">
        <w:rPr>
          <w:rFonts w:asciiTheme="minorHAnsi" w:hAnsiTheme="minorHAnsi"/>
        </w:rPr>
        <w:t xml:space="preserve">: Regression analysis carried out on FPI score and the injury incidence rate (IR) shows R squared values of .370 (Male) and .562 (Female). </w:t>
      </w:r>
    </w:p>
    <w:p w:rsidR="00731205" w:rsidRPr="00556E43" w:rsidRDefault="00731205" w:rsidP="00731205">
      <w:pPr>
        <w:pStyle w:val="ListParagraph"/>
        <w:numPr>
          <w:ilvl w:val="0"/>
          <w:numId w:val="4"/>
        </w:numPr>
        <w:spacing w:line="360" w:lineRule="auto"/>
        <w:rPr>
          <w:rFonts w:asciiTheme="minorHAnsi" w:hAnsiTheme="minorHAnsi"/>
        </w:rPr>
      </w:pPr>
      <w:r w:rsidRPr="00556E43">
        <w:rPr>
          <w:rFonts w:asciiTheme="minorHAnsi" w:hAnsiTheme="minorHAnsi"/>
          <w:b/>
        </w:rPr>
        <w:t>Positive FPI scores showed more significant Pearson’s correlation</w:t>
      </w:r>
      <w:r w:rsidRPr="00556E43">
        <w:rPr>
          <w:rFonts w:asciiTheme="minorHAnsi" w:hAnsiTheme="minorHAnsi"/>
        </w:rPr>
        <w:t xml:space="preserve">: For positive FPI scores, the male data analysed with Pearson’s correlation show scores of </w:t>
      </w:r>
      <w:r w:rsidRPr="00556E43">
        <w:rPr>
          <w:rFonts w:asciiTheme="minorHAnsi" w:hAnsiTheme="minorHAnsi" w:cs="Arial"/>
          <w:color w:val="000000"/>
        </w:rPr>
        <w:t>.746 (FPI &amp; TOTALDL) and .590 (FPI &amp; IR). The female data shows figures of .694 (FPI &amp; TOTALDL) and .676 (FPI &amp; IR), all with a statistically valid significance of less than .001.</w:t>
      </w:r>
    </w:p>
    <w:p w:rsidR="00731205" w:rsidRPr="00556E43" w:rsidRDefault="00731205" w:rsidP="00731205">
      <w:pPr>
        <w:pStyle w:val="ListParagraph"/>
        <w:numPr>
          <w:ilvl w:val="0"/>
          <w:numId w:val="4"/>
        </w:numPr>
        <w:spacing w:line="360" w:lineRule="auto"/>
        <w:rPr>
          <w:rFonts w:asciiTheme="minorHAnsi" w:hAnsiTheme="minorHAnsi"/>
        </w:rPr>
      </w:pPr>
      <w:r w:rsidRPr="00556E43">
        <w:rPr>
          <w:rFonts w:asciiTheme="minorHAnsi" w:hAnsiTheme="minorHAnsi" w:cs="Arial"/>
          <w:b/>
          <w:color w:val="000000"/>
        </w:rPr>
        <w:lastRenderedPageBreak/>
        <w:t>Negative FPI scores showed less significant Pearson’s correlation</w:t>
      </w:r>
      <w:r w:rsidRPr="00556E43">
        <w:rPr>
          <w:rFonts w:asciiTheme="minorHAnsi" w:hAnsiTheme="minorHAnsi" w:cs="Arial"/>
          <w:color w:val="000000"/>
        </w:rPr>
        <w:t xml:space="preserve">: </w:t>
      </w:r>
      <w:r>
        <w:rPr>
          <w:rFonts w:asciiTheme="minorHAnsi" w:hAnsiTheme="minorHAnsi" w:cs="Arial"/>
          <w:color w:val="000000"/>
        </w:rPr>
        <w:t xml:space="preserve">For negative FPI scores, the male data </w:t>
      </w:r>
      <w:r w:rsidRPr="003D3818">
        <w:rPr>
          <w:rFonts w:asciiTheme="minorHAnsi" w:hAnsiTheme="minorHAnsi" w:cs="Arial"/>
          <w:color w:val="000000"/>
        </w:rPr>
        <w:t>analysed with Pearson’s correlation show scores of -.704 with a significance level of .077 (FPI and IR) and -.599 with a significance level of.155</w:t>
      </w:r>
      <w:r>
        <w:rPr>
          <w:rFonts w:asciiTheme="minorHAnsi" w:hAnsiTheme="minorHAnsi" w:cs="Arial"/>
          <w:color w:val="000000"/>
        </w:rPr>
        <w:t xml:space="preserve"> (FPI and TOTAL</w:t>
      </w:r>
      <w:r w:rsidRPr="003D3818">
        <w:rPr>
          <w:rFonts w:asciiTheme="minorHAnsi" w:hAnsiTheme="minorHAnsi" w:cs="Arial"/>
          <w:color w:val="000000"/>
        </w:rPr>
        <w:t>DL)</w:t>
      </w:r>
      <w:r>
        <w:rPr>
          <w:rFonts w:asciiTheme="minorHAnsi" w:hAnsiTheme="minorHAnsi" w:cs="Arial"/>
          <w:color w:val="000000"/>
        </w:rPr>
        <w:t>. The female data showed figures of -814 with a significance of .186 (FPI and TOTALDL) and -479 with a significance of .521 (FPI and IR).</w:t>
      </w:r>
    </w:p>
    <w:p w:rsidR="00731205" w:rsidRDefault="00731205" w:rsidP="00731205">
      <w:pPr>
        <w:pStyle w:val="Heading3"/>
        <w:spacing w:line="360" w:lineRule="auto"/>
      </w:pPr>
      <w:bookmarkStart w:id="6" w:name="_Toc216677164"/>
      <w:r>
        <w:t>Research limitations</w:t>
      </w:r>
      <w:bookmarkEnd w:id="6"/>
    </w:p>
    <w:p w:rsidR="00731205" w:rsidRPr="00EB71A8" w:rsidRDefault="00731205" w:rsidP="00731205">
      <w:pPr>
        <w:spacing w:line="360" w:lineRule="auto"/>
        <w:rPr>
          <w:rFonts w:cs="Arial"/>
          <w:color w:val="000000"/>
          <w:sz w:val="24"/>
          <w:szCs w:val="24"/>
        </w:rPr>
      </w:pPr>
      <w:r w:rsidRPr="00EB71A8">
        <w:rPr>
          <w:sz w:val="24"/>
          <w:szCs w:val="24"/>
        </w:rPr>
        <w:t xml:space="preserve">Sample sizes of the negative FPI scores were too small to get statistically valid data. </w:t>
      </w:r>
      <w:r w:rsidRPr="00EB71A8">
        <w:rPr>
          <w:rFonts w:cs="Arial"/>
          <w:color w:val="000000"/>
          <w:sz w:val="24"/>
          <w:szCs w:val="24"/>
        </w:rPr>
        <w:t xml:space="preserve">However there does seem to be a relationship between FPI and TOTALDL </w:t>
      </w:r>
      <w:r>
        <w:rPr>
          <w:rFonts w:cs="Arial"/>
          <w:color w:val="000000"/>
          <w:sz w:val="24"/>
          <w:szCs w:val="24"/>
        </w:rPr>
        <w:t>as well as FPI and IR for both male and f</w:t>
      </w:r>
      <w:r w:rsidRPr="00EB71A8">
        <w:rPr>
          <w:rFonts w:cs="Arial"/>
          <w:color w:val="000000"/>
          <w:sz w:val="24"/>
          <w:szCs w:val="24"/>
        </w:rPr>
        <w:t>emale runners. S</w:t>
      </w:r>
      <w:r>
        <w:rPr>
          <w:rFonts w:cs="Arial"/>
          <w:color w:val="000000"/>
          <w:sz w:val="24"/>
          <w:szCs w:val="24"/>
        </w:rPr>
        <w:t xml:space="preserve">hortcomings </w:t>
      </w:r>
      <w:r w:rsidRPr="00EB71A8">
        <w:rPr>
          <w:rFonts w:cs="Arial"/>
          <w:color w:val="000000"/>
          <w:sz w:val="24"/>
          <w:szCs w:val="24"/>
        </w:rPr>
        <w:t>with the collection methodology mean that the results should be viewed with caution and further research on this topic is recommended.</w:t>
      </w:r>
    </w:p>
    <w:p w:rsidR="00731205" w:rsidRDefault="00731205" w:rsidP="00731205">
      <w:pPr>
        <w:pStyle w:val="Heading3"/>
        <w:spacing w:line="360" w:lineRule="auto"/>
      </w:pPr>
      <w:bookmarkStart w:id="7" w:name="_Toc216677165"/>
      <w:r>
        <w:t>Originality/value</w:t>
      </w:r>
      <w:bookmarkEnd w:id="7"/>
    </w:p>
    <w:p w:rsidR="00731205" w:rsidRPr="00EB71A8" w:rsidRDefault="00731205" w:rsidP="00731205">
      <w:pPr>
        <w:spacing w:line="360" w:lineRule="auto"/>
        <w:rPr>
          <w:sz w:val="24"/>
          <w:szCs w:val="24"/>
        </w:rPr>
      </w:pPr>
      <w:r w:rsidRPr="00EB71A8">
        <w:rPr>
          <w:sz w:val="24"/>
          <w:szCs w:val="24"/>
        </w:rPr>
        <w:t>This project seeks to examine the clinical use</w:t>
      </w:r>
      <w:r>
        <w:rPr>
          <w:sz w:val="24"/>
          <w:szCs w:val="24"/>
        </w:rPr>
        <w:t xml:space="preserve"> of the FPI scoring methodology</w:t>
      </w:r>
      <w:r w:rsidRPr="00EB71A8">
        <w:rPr>
          <w:sz w:val="24"/>
          <w:szCs w:val="24"/>
        </w:rPr>
        <w:t xml:space="preserve"> and apply the fully validated measurement system to a “real world” population. This project would be of interest to </w:t>
      </w:r>
      <w:r>
        <w:rPr>
          <w:sz w:val="24"/>
          <w:szCs w:val="24"/>
        </w:rPr>
        <w:t>o</w:t>
      </w:r>
      <w:r w:rsidRPr="00EB71A8">
        <w:rPr>
          <w:sz w:val="24"/>
          <w:szCs w:val="24"/>
        </w:rPr>
        <w:t>steopaths and other healthcare p</w:t>
      </w:r>
      <w:r>
        <w:rPr>
          <w:sz w:val="24"/>
          <w:szCs w:val="24"/>
        </w:rPr>
        <w:t>rofessionals with an interest</w:t>
      </w:r>
      <w:r w:rsidRPr="00EB71A8">
        <w:rPr>
          <w:sz w:val="24"/>
          <w:szCs w:val="24"/>
        </w:rPr>
        <w:t xml:space="preserve"> in treating recreational runners.</w:t>
      </w:r>
    </w:p>
    <w:p w:rsidR="00953E5C" w:rsidRDefault="00953E5C" w:rsidP="00953E5C">
      <w:pPr>
        <w:pStyle w:val="Heading1"/>
      </w:pPr>
      <w:r>
        <w:t>Introduction</w:t>
      </w:r>
      <w:bookmarkEnd w:id="0"/>
    </w:p>
    <w:p w:rsidR="00953E5C" w:rsidRPr="00EB71A8" w:rsidRDefault="00953E5C" w:rsidP="00953E5C">
      <w:pPr>
        <w:spacing w:line="360" w:lineRule="auto"/>
        <w:rPr>
          <w:sz w:val="24"/>
          <w:szCs w:val="24"/>
        </w:rPr>
      </w:pPr>
      <w:r w:rsidRPr="00EB71A8">
        <w:rPr>
          <w:sz w:val="24"/>
          <w:szCs w:val="24"/>
        </w:rPr>
        <w:t>Recreational runners are one of the largest sporting groups in the UK</w:t>
      </w:r>
      <w:sdt>
        <w:sdtPr>
          <w:rPr>
            <w:sz w:val="24"/>
            <w:szCs w:val="24"/>
          </w:rPr>
          <w:id w:val="-1944169002"/>
          <w:citation/>
        </w:sdtPr>
        <w:sdtContent>
          <w:r w:rsidR="007A16A5">
            <w:rPr>
              <w:sz w:val="24"/>
              <w:szCs w:val="24"/>
            </w:rPr>
            <w:fldChar w:fldCharType="begin"/>
          </w:r>
          <w:r>
            <w:rPr>
              <w:sz w:val="24"/>
              <w:szCs w:val="24"/>
            </w:rPr>
            <w:instrText xml:space="preserve"> CITATION Adi06 \l 2057 </w:instrText>
          </w:r>
          <w:r w:rsidR="007A16A5">
            <w:rPr>
              <w:sz w:val="24"/>
              <w:szCs w:val="24"/>
            </w:rPr>
            <w:fldChar w:fldCharType="separate"/>
          </w:r>
          <w:r>
            <w:rPr>
              <w:noProof/>
              <w:sz w:val="24"/>
              <w:szCs w:val="24"/>
            </w:rPr>
            <w:t xml:space="preserve"> </w:t>
          </w:r>
          <w:r w:rsidRPr="00C474C8">
            <w:rPr>
              <w:noProof/>
              <w:sz w:val="24"/>
              <w:szCs w:val="24"/>
            </w:rPr>
            <w:t>(Adidas, 2006)</w:t>
          </w:r>
          <w:r w:rsidR="007A16A5">
            <w:rPr>
              <w:sz w:val="24"/>
              <w:szCs w:val="24"/>
            </w:rPr>
            <w:fldChar w:fldCharType="end"/>
          </w:r>
        </w:sdtContent>
      </w:sdt>
      <w:r w:rsidRPr="00EB71A8">
        <w:rPr>
          <w:sz w:val="24"/>
          <w:szCs w:val="24"/>
        </w:rPr>
        <w:t xml:space="preserve"> and have a well documented propensity towards lower limb injury. </w:t>
      </w:r>
      <w:r w:rsidRPr="00EB71A8">
        <w:rPr>
          <w:rFonts w:ascii="Calibri" w:hAnsi="Calibri"/>
          <w:sz w:val="24"/>
          <w:szCs w:val="24"/>
        </w:rPr>
        <w:t>The incidence of lower extremity running injuries in published reports ranges from 37% to 79%</w:t>
      </w:r>
      <w:sdt>
        <w:sdtPr>
          <w:rPr>
            <w:sz w:val="24"/>
            <w:szCs w:val="24"/>
          </w:rPr>
          <w:id w:val="2428425"/>
          <w:citation/>
        </w:sdtPr>
        <w:sdtContent>
          <w:r w:rsidR="007A16A5" w:rsidRPr="00EB71A8">
            <w:rPr>
              <w:sz w:val="24"/>
              <w:szCs w:val="24"/>
            </w:rPr>
            <w:fldChar w:fldCharType="begin"/>
          </w:r>
          <w:r w:rsidRPr="00EB71A8">
            <w:rPr>
              <w:sz w:val="24"/>
              <w:szCs w:val="24"/>
            </w:rPr>
            <w:instrText xml:space="preserve"> CITATION Lun04 \l 2057 </w:instrText>
          </w:r>
          <w:r w:rsidR="007A16A5" w:rsidRPr="00EB71A8">
            <w:rPr>
              <w:sz w:val="24"/>
              <w:szCs w:val="24"/>
            </w:rPr>
            <w:fldChar w:fldCharType="separate"/>
          </w:r>
          <w:r w:rsidRPr="003348AF">
            <w:rPr>
              <w:noProof/>
              <w:sz w:val="24"/>
              <w:szCs w:val="24"/>
            </w:rPr>
            <w:t>(Lun, et al., 2004)</w:t>
          </w:r>
          <w:r w:rsidR="007A16A5" w:rsidRPr="00EB71A8">
            <w:rPr>
              <w:sz w:val="24"/>
              <w:szCs w:val="24"/>
            </w:rPr>
            <w:fldChar w:fldCharType="end"/>
          </w:r>
        </w:sdtContent>
      </w:sdt>
      <w:sdt>
        <w:sdtPr>
          <w:rPr>
            <w:sz w:val="24"/>
            <w:szCs w:val="24"/>
          </w:rPr>
          <w:id w:val="2428426"/>
          <w:citation/>
        </w:sdtPr>
        <w:sdtContent>
          <w:r w:rsidR="007A16A5" w:rsidRPr="00EB71A8">
            <w:rPr>
              <w:sz w:val="24"/>
              <w:szCs w:val="24"/>
            </w:rPr>
            <w:fldChar w:fldCharType="begin"/>
          </w:r>
          <w:r w:rsidRPr="00EB71A8">
            <w:rPr>
              <w:sz w:val="24"/>
              <w:szCs w:val="24"/>
            </w:rPr>
            <w:instrText xml:space="preserve"> CITATION Maj00 \l 2057 </w:instrText>
          </w:r>
          <w:r w:rsidR="007A16A5" w:rsidRPr="00EB71A8">
            <w:rPr>
              <w:sz w:val="24"/>
              <w:szCs w:val="24"/>
            </w:rPr>
            <w:fldChar w:fldCharType="separate"/>
          </w:r>
          <w:r w:rsidRPr="003348AF">
            <w:rPr>
              <w:noProof/>
              <w:sz w:val="24"/>
              <w:szCs w:val="24"/>
            </w:rPr>
            <w:t>(Major, et al., 2000)</w:t>
          </w:r>
          <w:r w:rsidR="007A16A5" w:rsidRPr="00EB71A8">
            <w:rPr>
              <w:sz w:val="24"/>
              <w:szCs w:val="24"/>
            </w:rPr>
            <w:fldChar w:fldCharType="end"/>
          </w:r>
        </w:sdtContent>
      </w:sdt>
      <w:sdt>
        <w:sdtPr>
          <w:rPr>
            <w:sz w:val="24"/>
            <w:szCs w:val="24"/>
          </w:rPr>
          <w:id w:val="2428427"/>
          <w:citation/>
        </w:sdtPr>
        <w:sdtContent>
          <w:r w:rsidR="007A16A5" w:rsidRPr="00EB71A8">
            <w:rPr>
              <w:sz w:val="24"/>
              <w:szCs w:val="24"/>
            </w:rPr>
            <w:fldChar w:fldCharType="begin"/>
          </w:r>
          <w:r w:rsidRPr="00EB71A8">
            <w:rPr>
              <w:sz w:val="24"/>
              <w:szCs w:val="24"/>
            </w:rPr>
            <w:instrText xml:space="preserve"> CITATION Cho02 \l 2057 </w:instrText>
          </w:r>
          <w:r w:rsidR="007A16A5" w:rsidRPr="00EB71A8">
            <w:rPr>
              <w:sz w:val="24"/>
              <w:szCs w:val="24"/>
            </w:rPr>
            <w:fldChar w:fldCharType="separate"/>
          </w:r>
          <w:r w:rsidRPr="003348AF">
            <w:rPr>
              <w:noProof/>
              <w:sz w:val="24"/>
              <w:szCs w:val="24"/>
            </w:rPr>
            <w:t>(Chorley, et al., 2002)</w:t>
          </w:r>
          <w:r w:rsidR="007A16A5" w:rsidRPr="00EB71A8">
            <w:rPr>
              <w:sz w:val="24"/>
              <w:szCs w:val="24"/>
            </w:rPr>
            <w:fldChar w:fldCharType="end"/>
          </w:r>
        </w:sdtContent>
      </w:sdt>
      <w:sdt>
        <w:sdtPr>
          <w:rPr>
            <w:sz w:val="24"/>
            <w:szCs w:val="24"/>
          </w:rPr>
          <w:id w:val="2428428"/>
          <w:citation/>
        </w:sdtPr>
        <w:sdtContent>
          <w:r w:rsidR="007A16A5" w:rsidRPr="00EB71A8">
            <w:rPr>
              <w:sz w:val="24"/>
              <w:szCs w:val="24"/>
            </w:rPr>
            <w:fldChar w:fldCharType="begin"/>
          </w:r>
          <w:r w:rsidRPr="00EB71A8">
            <w:rPr>
              <w:sz w:val="24"/>
              <w:szCs w:val="24"/>
            </w:rPr>
            <w:instrText xml:space="preserve"> CITATION Nee98 \l 2057 </w:instrText>
          </w:r>
          <w:r w:rsidR="007A16A5" w:rsidRPr="00EB71A8">
            <w:rPr>
              <w:sz w:val="24"/>
              <w:szCs w:val="24"/>
            </w:rPr>
            <w:fldChar w:fldCharType="separate"/>
          </w:r>
          <w:r w:rsidRPr="003348AF">
            <w:rPr>
              <w:noProof/>
              <w:sz w:val="24"/>
              <w:szCs w:val="24"/>
            </w:rPr>
            <w:t>(Neely, 1998)</w:t>
          </w:r>
          <w:r w:rsidR="007A16A5" w:rsidRPr="00EB71A8">
            <w:rPr>
              <w:sz w:val="24"/>
              <w:szCs w:val="24"/>
            </w:rPr>
            <w:fldChar w:fldCharType="end"/>
          </w:r>
        </w:sdtContent>
      </w:sdt>
      <w:r>
        <w:rPr>
          <w:sz w:val="24"/>
          <w:szCs w:val="24"/>
        </w:rPr>
        <w:t xml:space="preserve"> </w:t>
      </w:r>
      <w:sdt>
        <w:sdtPr>
          <w:rPr>
            <w:sz w:val="24"/>
            <w:szCs w:val="24"/>
          </w:rPr>
          <w:id w:val="604809261"/>
          <w:citation/>
        </w:sdtPr>
        <w:sdtContent>
          <w:r w:rsidR="007A16A5">
            <w:rPr>
              <w:sz w:val="24"/>
              <w:szCs w:val="24"/>
            </w:rPr>
            <w:fldChar w:fldCharType="begin"/>
          </w:r>
          <w:r>
            <w:rPr>
              <w:sz w:val="24"/>
              <w:szCs w:val="24"/>
            </w:rPr>
            <w:instrText xml:space="preserve"> CITATION The99 \l 2057 </w:instrText>
          </w:r>
          <w:r w:rsidR="007A16A5">
            <w:rPr>
              <w:sz w:val="24"/>
              <w:szCs w:val="24"/>
            </w:rPr>
            <w:fldChar w:fldCharType="separate"/>
          </w:r>
          <w:r w:rsidRPr="00F14854">
            <w:rPr>
              <w:noProof/>
              <w:sz w:val="24"/>
              <w:szCs w:val="24"/>
            </w:rPr>
            <w:t>(Kaufman, et al., 1999)</w:t>
          </w:r>
          <w:r w:rsidR="007A16A5">
            <w:rPr>
              <w:sz w:val="24"/>
              <w:szCs w:val="24"/>
            </w:rPr>
            <w:fldChar w:fldCharType="end"/>
          </w:r>
        </w:sdtContent>
      </w:sdt>
      <w:sdt>
        <w:sdtPr>
          <w:rPr>
            <w:sz w:val="24"/>
            <w:szCs w:val="24"/>
          </w:rPr>
          <w:id w:val="604809262"/>
          <w:citation/>
        </w:sdtPr>
        <w:sdtContent>
          <w:r w:rsidR="007A16A5">
            <w:rPr>
              <w:sz w:val="24"/>
              <w:szCs w:val="24"/>
            </w:rPr>
            <w:fldChar w:fldCharType="begin"/>
          </w:r>
          <w:r>
            <w:rPr>
              <w:sz w:val="24"/>
              <w:szCs w:val="24"/>
            </w:rPr>
            <w:instrText xml:space="preserve"> CITATION Ber88 \l 2057 </w:instrText>
          </w:r>
          <w:r w:rsidR="007A16A5">
            <w:rPr>
              <w:sz w:val="24"/>
              <w:szCs w:val="24"/>
            </w:rPr>
            <w:fldChar w:fldCharType="separate"/>
          </w:r>
          <w:r>
            <w:rPr>
              <w:noProof/>
              <w:sz w:val="24"/>
              <w:szCs w:val="24"/>
            </w:rPr>
            <w:t xml:space="preserve"> </w:t>
          </w:r>
          <w:r w:rsidRPr="00F14854">
            <w:rPr>
              <w:noProof/>
              <w:sz w:val="24"/>
              <w:szCs w:val="24"/>
            </w:rPr>
            <w:t>(Marti, et al., 1988)</w:t>
          </w:r>
          <w:r w:rsidR="007A16A5">
            <w:rPr>
              <w:sz w:val="24"/>
              <w:szCs w:val="24"/>
            </w:rPr>
            <w:fldChar w:fldCharType="end"/>
          </w:r>
        </w:sdtContent>
      </w:sdt>
      <w:r w:rsidRPr="00EB71A8">
        <w:rPr>
          <w:sz w:val="24"/>
          <w:szCs w:val="24"/>
        </w:rPr>
        <w:t xml:space="preserve">. </w:t>
      </w:r>
      <w:r w:rsidRPr="00EB71A8">
        <w:rPr>
          <w:rFonts w:ascii="Calibri" w:hAnsi="Calibri"/>
          <w:sz w:val="24"/>
          <w:szCs w:val="24"/>
        </w:rPr>
        <w:t>Recreational running is one of the most popular sports in the UK with 5-10% of the UK population (2-4 million</w:t>
      </w:r>
      <w:r>
        <w:rPr>
          <w:rFonts w:ascii="Calibri" w:hAnsi="Calibri"/>
          <w:sz w:val="24"/>
          <w:szCs w:val="24"/>
        </w:rPr>
        <w:t xml:space="preserve"> people</w:t>
      </w:r>
      <w:r w:rsidRPr="00EB71A8">
        <w:rPr>
          <w:rFonts w:ascii="Calibri" w:hAnsi="Calibri"/>
          <w:sz w:val="24"/>
          <w:szCs w:val="24"/>
        </w:rPr>
        <w:t>) taking part in athletics (track and field, informal road running) and up to 25% (15 million</w:t>
      </w:r>
      <w:r>
        <w:rPr>
          <w:rFonts w:ascii="Calibri" w:hAnsi="Calibri"/>
          <w:sz w:val="24"/>
          <w:szCs w:val="24"/>
        </w:rPr>
        <w:t xml:space="preserve"> people</w:t>
      </w:r>
      <w:proofErr w:type="gramStart"/>
      <w:r w:rsidRPr="00EB71A8">
        <w:rPr>
          <w:rFonts w:ascii="Calibri" w:hAnsi="Calibri"/>
          <w:sz w:val="24"/>
          <w:szCs w:val="24"/>
        </w:rPr>
        <w:t>)  take</w:t>
      </w:r>
      <w:proofErr w:type="gramEnd"/>
      <w:r w:rsidRPr="00EB71A8">
        <w:rPr>
          <w:rFonts w:ascii="Calibri" w:hAnsi="Calibri"/>
          <w:sz w:val="24"/>
          <w:szCs w:val="24"/>
        </w:rPr>
        <w:t xml:space="preserve"> part in sporting activities that involve running</w:t>
      </w:r>
      <w:sdt>
        <w:sdtPr>
          <w:rPr>
            <w:rFonts w:ascii="Calibri" w:hAnsi="Calibri"/>
            <w:sz w:val="24"/>
            <w:szCs w:val="24"/>
          </w:rPr>
          <w:id w:val="2428448"/>
          <w:citation/>
        </w:sdtPr>
        <w:sdtContent>
          <w:r w:rsidR="007A16A5" w:rsidRPr="00EB71A8">
            <w:rPr>
              <w:rFonts w:ascii="Calibri" w:hAnsi="Calibri"/>
              <w:sz w:val="24"/>
              <w:szCs w:val="24"/>
            </w:rPr>
            <w:fldChar w:fldCharType="begin"/>
          </w:r>
          <w:r w:rsidRPr="00EB71A8">
            <w:rPr>
              <w:rFonts w:ascii="Calibri" w:hAnsi="Calibri"/>
              <w:sz w:val="24"/>
              <w:szCs w:val="24"/>
            </w:rPr>
            <w:instrText xml:space="preserve"> CITATION Adi06 \l 2057 </w:instrText>
          </w:r>
          <w:r w:rsidR="007A16A5" w:rsidRPr="00EB71A8">
            <w:rPr>
              <w:rFonts w:ascii="Calibri" w:hAnsi="Calibri"/>
              <w:sz w:val="24"/>
              <w:szCs w:val="24"/>
            </w:rPr>
            <w:fldChar w:fldCharType="separate"/>
          </w:r>
          <w:r w:rsidRPr="003348AF">
            <w:rPr>
              <w:rFonts w:ascii="Calibri" w:hAnsi="Calibri"/>
              <w:noProof/>
              <w:sz w:val="24"/>
              <w:szCs w:val="24"/>
            </w:rPr>
            <w:t>(Adidas, 2006)</w:t>
          </w:r>
          <w:r w:rsidR="007A16A5" w:rsidRPr="00EB71A8">
            <w:rPr>
              <w:rFonts w:ascii="Calibri" w:hAnsi="Calibri"/>
              <w:sz w:val="24"/>
              <w:szCs w:val="24"/>
            </w:rPr>
            <w:fldChar w:fldCharType="end"/>
          </w:r>
        </w:sdtContent>
      </w:sdt>
      <w:r w:rsidRPr="00EB71A8">
        <w:rPr>
          <w:rFonts w:ascii="Calibri" w:hAnsi="Calibri"/>
          <w:sz w:val="24"/>
          <w:szCs w:val="24"/>
        </w:rPr>
        <w:t xml:space="preserve">. With between 125,000 and 1,000,000 injured runners seeking advice about injury annually, proper assessment of foot biomechanics could be a valuable </w:t>
      </w:r>
      <w:r>
        <w:rPr>
          <w:rFonts w:ascii="Calibri" w:hAnsi="Calibri"/>
          <w:sz w:val="24"/>
          <w:szCs w:val="24"/>
        </w:rPr>
        <w:t>tool for o</w:t>
      </w:r>
      <w:r w:rsidRPr="00EB71A8">
        <w:rPr>
          <w:rFonts w:ascii="Calibri" w:hAnsi="Calibri"/>
          <w:sz w:val="24"/>
          <w:szCs w:val="24"/>
        </w:rPr>
        <w:t>steopaths in order to give appropriate advice and treatment to this population.</w:t>
      </w:r>
    </w:p>
    <w:p w:rsidR="00953E5C" w:rsidRPr="00EB71A8" w:rsidRDefault="00953E5C" w:rsidP="00953E5C">
      <w:pPr>
        <w:spacing w:line="360" w:lineRule="auto"/>
        <w:rPr>
          <w:sz w:val="24"/>
          <w:szCs w:val="24"/>
        </w:rPr>
      </w:pPr>
      <w:r w:rsidRPr="00EB71A8">
        <w:rPr>
          <w:sz w:val="24"/>
          <w:szCs w:val="24"/>
        </w:rPr>
        <w:t>The osteopathic profession has many different methods of assessing foot biomechanics ranging from visual assessment</w:t>
      </w:r>
      <w:r>
        <w:rPr>
          <w:sz w:val="24"/>
          <w:szCs w:val="24"/>
        </w:rPr>
        <w:t xml:space="preserve"> </w:t>
      </w:r>
      <w:sdt>
        <w:sdtPr>
          <w:rPr>
            <w:sz w:val="24"/>
            <w:szCs w:val="24"/>
          </w:rPr>
          <w:id w:val="9338473"/>
          <w:citation/>
        </w:sdtPr>
        <w:sdtContent>
          <w:r w:rsidR="007A16A5">
            <w:rPr>
              <w:sz w:val="24"/>
              <w:szCs w:val="24"/>
            </w:rPr>
            <w:fldChar w:fldCharType="begin"/>
          </w:r>
          <w:r>
            <w:rPr>
              <w:sz w:val="24"/>
              <w:szCs w:val="24"/>
            </w:rPr>
            <w:instrText xml:space="preserve"> CITATION DiG \p 502 \l 2057  </w:instrText>
          </w:r>
          <w:r w:rsidR="007A16A5">
            <w:rPr>
              <w:sz w:val="24"/>
              <w:szCs w:val="24"/>
            </w:rPr>
            <w:fldChar w:fldCharType="separate"/>
          </w:r>
          <w:r w:rsidRPr="003348AF">
            <w:rPr>
              <w:noProof/>
              <w:sz w:val="24"/>
              <w:szCs w:val="24"/>
            </w:rPr>
            <w:t>(DiGiovanna, et al., 2005 p. 502)</w:t>
          </w:r>
          <w:r w:rsidR="007A16A5">
            <w:rPr>
              <w:sz w:val="24"/>
              <w:szCs w:val="24"/>
            </w:rPr>
            <w:fldChar w:fldCharType="end"/>
          </w:r>
        </w:sdtContent>
      </w:sdt>
      <w:r w:rsidRPr="00EB71A8">
        <w:rPr>
          <w:sz w:val="24"/>
          <w:szCs w:val="24"/>
        </w:rPr>
        <w:t xml:space="preserve"> to more complex </w:t>
      </w:r>
      <w:r w:rsidRPr="00EB71A8">
        <w:rPr>
          <w:sz w:val="24"/>
          <w:szCs w:val="24"/>
        </w:rPr>
        <w:lastRenderedPageBreak/>
        <w:t>goniometric assessment</w:t>
      </w:r>
      <w:r>
        <w:rPr>
          <w:sz w:val="24"/>
          <w:szCs w:val="24"/>
        </w:rPr>
        <w:t xml:space="preserve"> </w:t>
      </w:r>
      <w:sdt>
        <w:sdtPr>
          <w:rPr>
            <w:sz w:val="24"/>
            <w:szCs w:val="24"/>
          </w:rPr>
          <w:id w:val="512747027"/>
          <w:citation/>
        </w:sdtPr>
        <w:sdtContent>
          <w:r w:rsidR="007A16A5">
            <w:rPr>
              <w:sz w:val="24"/>
              <w:szCs w:val="24"/>
            </w:rPr>
            <w:fldChar w:fldCharType="begin"/>
          </w:r>
          <w:r>
            <w:rPr>
              <w:sz w:val="24"/>
              <w:szCs w:val="24"/>
            </w:rPr>
            <w:instrText xml:space="preserve"> CITATION Eis03 \l 2057 </w:instrText>
          </w:r>
          <w:r w:rsidR="007A16A5">
            <w:rPr>
              <w:sz w:val="24"/>
              <w:szCs w:val="24"/>
            </w:rPr>
            <w:fldChar w:fldCharType="separate"/>
          </w:r>
          <w:r w:rsidRPr="0015428D">
            <w:rPr>
              <w:noProof/>
              <w:sz w:val="24"/>
              <w:szCs w:val="24"/>
            </w:rPr>
            <w:t>(Eisenhart, et al., 2003)</w:t>
          </w:r>
          <w:r w:rsidR="007A16A5">
            <w:rPr>
              <w:sz w:val="24"/>
              <w:szCs w:val="24"/>
            </w:rPr>
            <w:fldChar w:fldCharType="end"/>
          </w:r>
        </w:sdtContent>
      </w:sdt>
      <w:r w:rsidRPr="00EB71A8">
        <w:rPr>
          <w:sz w:val="24"/>
          <w:szCs w:val="24"/>
        </w:rPr>
        <w:t xml:space="preserve">. </w:t>
      </w:r>
      <w:r>
        <w:rPr>
          <w:sz w:val="24"/>
          <w:szCs w:val="24"/>
        </w:rPr>
        <w:t>Much o</w:t>
      </w:r>
      <w:r w:rsidRPr="00EB71A8">
        <w:rPr>
          <w:sz w:val="24"/>
          <w:szCs w:val="24"/>
        </w:rPr>
        <w:t>steopathic literature relating to assessment of the foot remains in the realms of accepted wisdom rather than the outcomes of clinically trialled methods</w:t>
      </w:r>
      <w:r>
        <w:rPr>
          <w:sz w:val="24"/>
          <w:szCs w:val="24"/>
        </w:rPr>
        <w:t xml:space="preserve"> (see major osteopathic text books such as </w:t>
      </w:r>
      <w:proofErr w:type="spellStart"/>
      <w:r>
        <w:rPr>
          <w:sz w:val="24"/>
          <w:szCs w:val="24"/>
        </w:rPr>
        <w:t>Kuchera</w:t>
      </w:r>
      <w:proofErr w:type="spellEnd"/>
      <w:r>
        <w:rPr>
          <w:sz w:val="24"/>
          <w:szCs w:val="24"/>
        </w:rPr>
        <w:t xml:space="preserve"> &amp; </w:t>
      </w:r>
      <w:proofErr w:type="spellStart"/>
      <w:r>
        <w:rPr>
          <w:sz w:val="24"/>
          <w:szCs w:val="24"/>
        </w:rPr>
        <w:t>Kuchera</w:t>
      </w:r>
      <w:proofErr w:type="spellEnd"/>
      <w:r>
        <w:rPr>
          <w:sz w:val="24"/>
          <w:szCs w:val="24"/>
        </w:rPr>
        <w:t xml:space="preserve"> </w:t>
      </w:r>
      <w:sdt>
        <w:sdtPr>
          <w:rPr>
            <w:sz w:val="24"/>
            <w:szCs w:val="24"/>
          </w:rPr>
          <w:id w:val="9338471"/>
          <w:citation/>
        </w:sdtPr>
        <w:sdtContent>
          <w:r w:rsidR="007A16A5">
            <w:rPr>
              <w:sz w:val="24"/>
              <w:szCs w:val="24"/>
            </w:rPr>
            <w:fldChar w:fldCharType="begin"/>
          </w:r>
          <w:r>
            <w:rPr>
              <w:sz w:val="24"/>
              <w:szCs w:val="24"/>
            </w:rPr>
            <w:instrText xml:space="preserve"> CITATION Wil91 \n  \t  \l 2057  </w:instrText>
          </w:r>
          <w:r w:rsidR="007A16A5">
            <w:rPr>
              <w:sz w:val="24"/>
              <w:szCs w:val="24"/>
            </w:rPr>
            <w:fldChar w:fldCharType="separate"/>
          </w:r>
          <w:r w:rsidRPr="003348AF">
            <w:rPr>
              <w:noProof/>
              <w:sz w:val="24"/>
              <w:szCs w:val="24"/>
            </w:rPr>
            <w:t>(1991)</w:t>
          </w:r>
          <w:r w:rsidR="007A16A5">
            <w:rPr>
              <w:sz w:val="24"/>
              <w:szCs w:val="24"/>
            </w:rPr>
            <w:fldChar w:fldCharType="end"/>
          </w:r>
        </w:sdtContent>
      </w:sdt>
      <w:r>
        <w:rPr>
          <w:sz w:val="24"/>
          <w:szCs w:val="24"/>
        </w:rPr>
        <w:t xml:space="preserve"> or </w:t>
      </w:r>
      <w:proofErr w:type="spellStart"/>
      <w:r>
        <w:rPr>
          <w:sz w:val="24"/>
          <w:szCs w:val="24"/>
        </w:rPr>
        <w:t>DiGiovannna</w:t>
      </w:r>
      <w:proofErr w:type="spellEnd"/>
      <w:r>
        <w:rPr>
          <w:sz w:val="24"/>
          <w:szCs w:val="24"/>
        </w:rPr>
        <w:t xml:space="preserve"> et al </w:t>
      </w:r>
      <w:sdt>
        <w:sdtPr>
          <w:rPr>
            <w:sz w:val="24"/>
            <w:szCs w:val="24"/>
          </w:rPr>
          <w:id w:val="9338710"/>
          <w:citation/>
        </w:sdtPr>
        <w:sdtContent>
          <w:r w:rsidR="007A16A5">
            <w:rPr>
              <w:sz w:val="24"/>
              <w:szCs w:val="24"/>
            </w:rPr>
            <w:fldChar w:fldCharType="begin"/>
          </w:r>
          <w:r>
            <w:rPr>
              <w:sz w:val="24"/>
              <w:szCs w:val="24"/>
            </w:rPr>
            <w:instrText xml:space="preserve"> CITATION DiG \n  \l 2057  </w:instrText>
          </w:r>
          <w:r w:rsidR="007A16A5">
            <w:rPr>
              <w:sz w:val="24"/>
              <w:szCs w:val="24"/>
            </w:rPr>
            <w:fldChar w:fldCharType="separate"/>
          </w:r>
          <w:r w:rsidRPr="003348AF">
            <w:rPr>
              <w:noProof/>
              <w:sz w:val="24"/>
              <w:szCs w:val="24"/>
            </w:rPr>
            <w:t>(2005)</w:t>
          </w:r>
          <w:r w:rsidR="007A16A5">
            <w:rPr>
              <w:sz w:val="24"/>
              <w:szCs w:val="24"/>
            </w:rPr>
            <w:fldChar w:fldCharType="end"/>
          </w:r>
        </w:sdtContent>
      </w:sdt>
      <w:r>
        <w:rPr>
          <w:sz w:val="24"/>
          <w:szCs w:val="24"/>
        </w:rPr>
        <w:t xml:space="preserve">). </w:t>
      </w:r>
      <w:r w:rsidRPr="00EB71A8">
        <w:rPr>
          <w:sz w:val="24"/>
          <w:szCs w:val="24"/>
        </w:rPr>
        <w:t>At present there remains no universally accepted method of assessment</w:t>
      </w:r>
      <w:r>
        <w:rPr>
          <w:sz w:val="24"/>
          <w:szCs w:val="24"/>
        </w:rPr>
        <w:t xml:space="preserve"> </w:t>
      </w:r>
      <w:sdt>
        <w:sdtPr>
          <w:rPr>
            <w:sz w:val="24"/>
            <w:szCs w:val="24"/>
          </w:rPr>
          <w:id w:val="2428423"/>
          <w:citation/>
        </w:sdtPr>
        <w:sdtContent>
          <w:r w:rsidR="007A16A5" w:rsidRPr="00EB71A8">
            <w:rPr>
              <w:sz w:val="24"/>
              <w:szCs w:val="24"/>
            </w:rPr>
            <w:fldChar w:fldCharType="begin"/>
          </w:r>
          <w:r w:rsidRPr="00EB71A8">
            <w:rPr>
              <w:sz w:val="24"/>
              <w:szCs w:val="24"/>
            </w:rPr>
            <w:instrText xml:space="preserve"> CITATION Raz02 \l 2057 </w:instrText>
          </w:r>
          <w:r w:rsidR="007A16A5" w:rsidRPr="00EB71A8">
            <w:rPr>
              <w:sz w:val="24"/>
              <w:szCs w:val="24"/>
            </w:rPr>
            <w:fldChar w:fldCharType="separate"/>
          </w:r>
          <w:r w:rsidRPr="003348AF">
            <w:rPr>
              <w:noProof/>
              <w:sz w:val="24"/>
              <w:szCs w:val="24"/>
            </w:rPr>
            <w:t>(Razeghi, et al., 2002)</w:t>
          </w:r>
          <w:r w:rsidR="007A16A5" w:rsidRPr="00EB71A8">
            <w:rPr>
              <w:sz w:val="24"/>
              <w:szCs w:val="24"/>
            </w:rPr>
            <w:fldChar w:fldCharType="end"/>
          </w:r>
        </w:sdtContent>
      </w:sdt>
      <w:r w:rsidRPr="00EB71A8">
        <w:rPr>
          <w:sz w:val="24"/>
          <w:szCs w:val="24"/>
        </w:rPr>
        <w:t xml:space="preserve"> and laboratory-based objective studies of lower limb function such as radiography or video gait analysis represent the gold-standard </w:t>
      </w:r>
      <w:sdt>
        <w:sdtPr>
          <w:rPr>
            <w:sz w:val="24"/>
            <w:szCs w:val="24"/>
          </w:rPr>
          <w:id w:val="2428422"/>
          <w:citation/>
        </w:sdtPr>
        <w:sdtContent>
          <w:r w:rsidR="007A16A5" w:rsidRPr="00EB71A8">
            <w:rPr>
              <w:sz w:val="24"/>
              <w:szCs w:val="24"/>
            </w:rPr>
            <w:fldChar w:fldCharType="begin"/>
          </w:r>
          <w:r w:rsidRPr="00EB71A8">
            <w:rPr>
              <w:sz w:val="24"/>
              <w:szCs w:val="24"/>
            </w:rPr>
            <w:instrText xml:space="preserve"> CITATION Red06 \l 2057 </w:instrText>
          </w:r>
          <w:r w:rsidR="007A16A5" w:rsidRPr="00EB71A8">
            <w:rPr>
              <w:sz w:val="24"/>
              <w:szCs w:val="24"/>
            </w:rPr>
            <w:fldChar w:fldCharType="separate"/>
          </w:r>
          <w:r w:rsidRPr="003348AF">
            <w:rPr>
              <w:noProof/>
              <w:sz w:val="24"/>
              <w:szCs w:val="24"/>
            </w:rPr>
            <w:t>(Redmond, et al., 2006)</w:t>
          </w:r>
          <w:r w:rsidR="007A16A5" w:rsidRPr="00EB71A8">
            <w:rPr>
              <w:sz w:val="24"/>
              <w:szCs w:val="24"/>
            </w:rPr>
            <w:fldChar w:fldCharType="end"/>
          </w:r>
        </w:sdtContent>
      </w:sdt>
      <w:r w:rsidRPr="00EB71A8">
        <w:rPr>
          <w:sz w:val="24"/>
          <w:szCs w:val="24"/>
        </w:rPr>
        <w:t>. However these methods are complex, time-consuming, require expensive equipment and are impractical for the osteopathic clinical setting. Likewise visual assessment or footprint analyses are regarded as unreliable methods for assessing the foot</w:t>
      </w:r>
      <w:r>
        <w:rPr>
          <w:sz w:val="24"/>
          <w:szCs w:val="24"/>
        </w:rPr>
        <w:t xml:space="preserve"> </w:t>
      </w:r>
      <w:sdt>
        <w:sdtPr>
          <w:rPr>
            <w:sz w:val="24"/>
            <w:szCs w:val="24"/>
          </w:rPr>
          <w:id w:val="2428449"/>
          <w:citation/>
        </w:sdtPr>
        <w:sdtContent>
          <w:r w:rsidR="007A16A5" w:rsidRPr="00EB71A8">
            <w:rPr>
              <w:sz w:val="24"/>
              <w:szCs w:val="24"/>
            </w:rPr>
            <w:fldChar w:fldCharType="begin"/>
          </w:r>
          <w:r w:rsidRPr="00EB71A8">
            <w:rPr>
              <w:sz w:val="24"/>
              <w:szCs w:val="24"/>
            </w:rPr>
            <w:instrText xml:space="preserve"> CITATION Raz02 \l 2057 </w:instrText>
          </w:r>
          <w:r w:rsidR="007A16A5" w:rsidRPr="00EB71A8">
            <w:rPr>
              <w:sz w:val="24"/>
              <w:szCs w:val="24"/>
            </w:rPr>
            <w:fldChar w:fldCharType="separate"/>
          </w:r>
          <w:r w:rsidRPr="003348AF">
            <w:rPr>
              <w:noProof/>
              <w:sz w:val="24"/>
              <w:szCs w:val="24"/>
            </w:rPr>
            <w:t>(Razeghi, et al., 2002)</w:t>
          </w:r>
          <w:r w:rsidR="007A16A5" w:rsidRPr="00EB71A8">
            <w:rPr>
              <w:sz w:val="24"/>
              <w:szCs w:val="24"/>
            </w:rPr>
            <w:fldChar w:fldCharType="end"/>
          </w:r>
        </w:sdtContent>
      </w:sdt>
      <w:r w:rsidRPr="00EB71A8">
        <w:rPr>
          <w:sz w:val="24"/>
          <w:szCs w:val="24"/>
        </w:rPr>
        <w:t>.</w:t>
      </w:r>
    </w:p>
    <w:p w:rsidR="00953E5C" w:rsidRPr="00EB71A8" w:rsidRDefault="00953E5C" w:rsidP="00953E5C">
      <w:pPr>
        <w:spacing w:line="360" w:lineRule="auto"/>
        <w:rPr>
          <w:sz w:val="24"/>
          <w:szCs w:val="24"/>
        </w:rPr>
      </w:pPr>
      <w:proofErr w:type="spellStart"/>
      <w:proofErr w:type="gramStart"/>
      <w:r>
        <w:rPr>
          <w:sz w:val="24"/>
          <w:szCs w:val="24"/>
        </w:rPr>
        <w:t>Huson</w:t>
      </w:r>
      <w:proofErr w:type="spellEnd"/>
      <w:r>
        <w:rPr>
          <w:sz w:val="24"/>
          <w:szCs w:val="24"/>
        </w:rPr>
        <w:t xml:space="preserve"> (1997)</w:t>
      </w:r>
      <w:r w:rsidRPr="00EB71A8">
        <w:rPr>
          <w:sz w:val="24"/>
          <w:szCs w:val="24"/>
        </w:rPr>
        <w:t xml:space="preserve"> point</w:t>
      </w:r>
      <w:r>
        <w:rPr>
          <w:sz w:val="24"/>
          <w:szCs w:val="24"/>
        </w:rPr>
        <w:t>s</w:t>
      </w:r>
      <w:r w:rsidRPr="00EB71A8">
        <w:rPr>
          <w:sz w:val="24"/>
          <w:szCs w:val="24"/>
        </w:rPr>
        <w:t xml:space="preserve"> towards the foot as being a major part of the “kinematic chain</w:t>
      </w:r>
      <w:r>
        <w:rPr>
          <w:sz w:val="24"/>
          <w:szCs w:val="24"/>
        </w:rPr>
        <w:t>”.</w:t>
      </w:r>
      <w:proofErr w:type="gramEnd"/>
      <w:r>
        <w:rPr>
          <w:sz w:val="24"/>
          <w:szCs w:val="24"/>
        </w:rPr>
        <w:t xml:space="preserve">  </w:t>
      </w:r>
      <w:proofErr w:type="spellStart"/>
      <w:r>
        <w:rPr>
          <w:sz w:val="24"/>
          <w:szCs w:val="24"/>
        </w:rPr>
        <w:t>Huson</w:t>
      </w:r>
      <w:proofErr w:type="spellEnd"/>
      <w:r>
        <w:rPr>
          <w:sz w:val="24"/>
          <w:szCs w:val="24"/>
        </w:rPr>
        <w:t xml:space="preserve"> </w:t>
      </w:r>
      <w:r w:rsidRPr="00EB71A8">
        <w:rPr>
          <w:sz w:val="24"/>
          <w:szCs w:val="24"/>
        </w:rPr>
        <w:t>proposes that the configuration of the joints in the lower extremity allows maximum stability in the “chai</w:t>
      </w:r>
      <w:r>
        <w:rPr>
          <w:sz w:val="24"/>
          <w:szCs w:val="24"/>
        </w:rPr>
        <w:t>n” with minimal muscular effort</w:t>
      </w:r>
      <w:r w:rsidRPr="00EB71A8">
        <w:rPr>
          <w:sz w:val="24"/>
          <w:szCs w:val="24"/>
        </w:rPr>
        <w:t xml:space="preserve"> and the overall balance of stability between the joints allows us efficient bipedal movement. This model points towards several conclusions:</w:t>
      </w:r>
    </w:p>
    <w:p w:rsidR="00953E5C" w:rsidRPr="00EB71A8" w:rsidRDefault="00953E5C" w:rsidP="00953E5C">
      <w:pPr>
        <w:spacing w:line="360" w:lineRule="auto"/>
        <w:rPr>
          <w:sz w:val="24"/>
          <w:szCs w:val="24"/>
        </w:rPr>
      </w:pPr>
      <w:r w:rsidRPr="00EB71A8">
        <w:rPr>
          <w:sz w:val="24"/>
          <w:szCs w:val="24"/>
        </w:rPr>
        <w:t xml:space="preserve">“1. Changes in the kinematic condition of a particular closed </w:t>
      </w:r>
      <w:proofErr w:type="spellStart"/>
      <w:r w:rsidRPr="00EB71A8">
        <w:rPr>
          <w:sz w:val="24"/>
          <w:szCs w:val="24"/>
        </w:rPr>
        <w:t>articular</w:t>
      </w:r>
      <w:proofErr w:type="spellEnd"/>
      <w:r w:rsidRPr="00EB71A8">
        <w:rPr>
          <w:sz w:val="24"/>
          <w:szCs w:val="24"/>
        </w:rPr>
        <w:t xml:space="preserve"> chain in the human body have immediate effects on the kinematics of other joints.</w:t>
      </w:r>
    </w:p>
    <w:p w:rsidR="00953E5C" w:rsidRPr="00EB71A8" w:rsidRDefault="00953E5C" w:rsidP="00953E5C">
      <w:pPr>
        <w:spacing w:line="360" w:lineRule="auto"/>
        <w:rPr>
          <w:sz w:val="24"/>
          <w:szCs w:val="24"/>
        </w:rPr>
      </w:pPr>
      <w:r w:rsidRPr="00EB71A8">
        <w:rPr>
          <w:sz w:val="24"/>
          <w:szCs w:val="24"/>
        </w:rPr>
        <w:t xml:space="preserve">2. These effects can be observed even at a great distance, thus affecting the kinematic behaviour of the whole chain.” </w:t>
      </w:r>
      <w:sdt>
        <w:sdtPr>
          <w:rPr>
            <w:sz w:val="24"/>
            <w:szCs w:val="24"/>
          </w:rPr>
          <w:id w:val="9337024"/>
          <w:citation/>
        </w:sdtPr>
        <w:sdtContent>
          <w:r w:rsidR="007A16A5" w:rsidRPr="00EB71A8">
            <w:rPr>
              <w:sz w:val="24"/>
              <w:szCs w:val="24"/>
            </w:rPr>
            <w:fldChar w:fldCharType="begin"/>
          </w:r>
          <w:r w:rsidRPr="00EB71A8">
            <w:rPr>
              <w:sz w:val="24"/>
              <w:szCs w:val="24"/>
            </w:rPr>
            <w:instrText xml:space="preserve"> CITATION Hus97 \p 130 \l 2057  </w:instrText>
          </w:r>
          <w:r w:rsidR="007A16A5" w:rsidRPr="00EB71A8">
            <w:rPr>
              <w:sz w:val="24"/>
              <w:szCs w:val="24"/>
            </w:rPr>
            <w:fldChar w:fldCharType="separate"/>
          </w:r>
          <w:r w:rsidRPr="003348AF">
            <w:rPr>
              <w:noProof/>
              <w:sz w:val="24"/>
              <w:szCs w:val="24"/>
            </w:rPr>
            <w:t>(Huson, 1997 p. 130)</w:t>
          </w:r>
          <w:r w:rsidR="007A16A5" w:rsidRPr="00EB71A8">
            <w:rPr>
              <w:sz w:val="24"/>
              <w:szCs w:val="24"/>
            </w:rPr>
            <w:fldChar w:fldCharType="end"/>
          </w:r>
        </w:sdtContent>
      </w:sdt>
    </w:p>
    <w:p w:rsidR="00953E5C" w:rsidRPr="00EB71A8" w:rsidRDefault="00953E5C" w:rsidP="00953E5C">
      <w:pPr>
        <w:spacing w:line="360" w:lineRule="auto"/>
        <w:rPr>
          <w:sz w:val="24"/>
          <w:szCs w:val="24"/>
        </w:rPr>
      </w:pPr>
      <w:r w:rsidRPr="00EB71A8">
        <w:rPr>
          <w:sz w:val="24"/>
          <w:szCs w:val="24"/>
        </w:rPr>
        <w:t xml:space="preserve">If we take the guiding osteopathic principles of </w:t>
      </w:r>
      <w:r>
        <w:rPr>
          <w:sz w:val="24"/>
          <w:szCs w:val="24"/>
        </w:rPr>
        <w:t>“t</w:t>
      </w:r>
      <w:r w:rsidRPr="00EB71A8">
        <w:rPr>
          <w:sz w:val="24"/>
          <w:szCs w:val="24"/>
        </w:rPr>
        <w:t xml:space="preserve">he body is a unit” </w:t>
      </w:r>
      <w:r>
        <w:rPr>
          <w:sz w:val="24"/>
          <w:szCs w:val="24"/>
        </w:rPr>
        <w:t>and “s</w:t>
      </w:r>
      <w:r w:rsidRPr="00EB71A8">
        <w:rPr>
          <w:sz w:val="24"/>
          <w:szCs w:val="24"/>
        </w:rPr>
        <w:t>tructure and function</w:t>
      </w:r>
      <w:r>
        <w:rPr>
          <w:sz w:val="24"/>
          <w:szCs w:val="24"/>
        </w:rPr>
        <w:t xml:space="preserve"> are reciprocally inter-related”, i</w:t>
      </w:r>
      <w:r w:rsidRPr="00EB71A8">
        <w:rPr>
          <w:sz w:val="24"/>
          <w:szCs w:val="24"/>
        </w:rPr>
        <w:t xml:space="preserve">t becomes clear that effective analysis of the </w:t>
      </w:r>
      <w:r>
        <w:rPr>
          <w:sz w:val="24"/>
          <w:szCs w:val="24"/>
        </w:rPr>
        <w:t>foot</w:t>
      </w:r>
      <w:r w:rsidRPr="00EB71A8">
        <w:rPr>
          <w:sz w:val="24"/>
          <w:szCs w:val="24"/>
        </w:rPr>
        <w:t xml:space="preserve"> is key to osteopathic as</w:t>
      </w:r>
      <w:r>
        <w:rPr>
          <w:sz w:val="24"/>
          <w:szCs w:val="24"/>
        </w:rPr>
        <w:t>sessment of the lower extremity because proximal dysfunction could have an origination in poor foot biomechanics.</w:t>
      </w:r>
    </w:p>
    <w:p w:rsidR="00953E5C" w:rsidRPr="00EB71A8" w:rsidRDefault="00953E5C" w:rsidP="00953E5C">
      <w:pPr>
        <w:spacing w:line="360" w:lineRule="auto"/>
        <w:rPr>
          <w:sz w:val="24"/>
          <w:szCs w:val="24"/>
        </w:rPr>
      </w:pPr>
      <w:r w:rsidRPr="00EB71A8">
        <w:rPr>
          <w:sz w:val="24"/>
          <w:szCs w:val="24"/>
        </w:rPr>
        <w:t xml:space="preserve">The Foot Posture Index (FPI) </w:t>
      </w:r>
      <w:sdt>
        <w:sdtPr>
          <w:rPr>
            <w:sz w:val="24"/>
            <w:szCs w:val="24"/>
          </w:rPr>
          <w:id w:val="2428424"/>
          <w:citation/>
        </w:sdtPr>
        <w:sdtContent>
          <w:r w:rsidR="007A16A5" w:rsidRPr="00EB71A8">
            <w:rPr>
              <w:sz w:val="24"/>
              <w:szCs w:val="24"/>
            </w:rPr>
            <w:fldChar w:fldCharType="begin"/>
          </w:r>
          <w:r w:rsidRPr="00EB71A8">
            <w:rPr>
              <w:sz w:val="24"/>
              <w:szCs w:val="24"/>
            </w:rPr>
            <w:instrText xml:space="preserve"> CITATION Red06 \l 2057 </w:instrText>
          </w:r>
          <w:r w:rsidR="007A16A5" w:rsidRPr="00EB71A8">
            <w:rPr>
              <w:sz w:val="24"/>
              <w:szCs w:val="24"/>
            </w:rPr>
            <w:fldChar w:fldCharType="separate"/>
          </w:r>
          <w:r w:rsidRPr="003348AF">
            <w:rPr>
              <w:noProof/>
              <w:sz w:val="24"/>
              <w:szCs w:val="24"/>
            </w:rPr>
            <w:t>(Redmond, et al., 2006)</w:t>
          </w:r>
          <w:r w:rsidR="007A16A5" w:rsidRPr="00EB71A8">
            <w:rPr>
              <w:sz w:val="24"/>
              <w:szCs w:val="24"/>
            </w:rPr>
            <w:fldChar w:fldCharType="end"/>
          </w:r>
        </w:sdtContent>
      </w:sdt>
      <w:r>
        <w:rPr>
          <w:sz w:val="24"/>
          <w:szCs w:val="24"/>
        </w:rPr>
        <w:t xml:space="preserve"> is a novel and</w:t>
      </w:r>
      <w:r w:rsidRPr="00EB71A8">
        <w:rPr>
          <w:sz w:val="24"/>
          <w:szCs w:val="24"/>
        </w:rPr>
        <w:t xml:space="preserve"> quick method</w:t>
      </w:r>
      <w:r>
        <w:rPr>
          <w:sz w:val="24"/>
          <w:szCs w:val="24"/>
        </w:rPr>
        <w:t xml:space="preserve"> to assess</w:t>
      </w:r>
      <w:r w:rsidRPr="00EB71A8">
        <w:rPr>
          <w:sz w:val="24"/>
          <w:szCs w:val="24"/>
        </w:rPr>
        <w:t xml:space="preserve"> foot biomechanics</w:t>
      </w:r>
      <w:r>
        <w:rPr>
          <w:sz w:val="24"/>
          <w:szCs w:val="24"/>
        </w:rPr>
        <w:t xml:space="preserve"> in the clinical situation, which </w:t>
      </w:r>
      <w:r w:rsidRPr="00EB71A8">
        <w:rPr>
          <w:sz w:val="24"/>
          <w:szCs w:val="24"/>
        </w:rPr>
        <w:t xml:space="preserve">has been fully validated against the </w:t>
      </w:r>
      <w:proofErr w:type="spellStart"/>
      <w:r w:rsidRPr="00EB71A8">
        <w:rPr>
          <w:sz w:val="24"/>
          <w:szCs w:val="24"/>
        </w:rPr>
        <w:t>Rasch</w:t>
      </w:r>
      <w:proofErr w:type="spellEnd"/>
      <w:r w:rsidRPr="00EB71A8">
        <w:rPr>
          <w:sz w:val="24"/>
          <w:szCs w:val="24"/>
        </w:rPr>
        <w:t xml:space="preserve"> statistical model </w:t>
      </w:r>
      <w:sdt>
        <w:sdtPr>
          <w:rPr>
            <w:sz w:val="24"/>
            <w:szCs w:val="24"/>
          </w:rPr>
          <w:id w:val="9337025"/>
          <w:citation/>
        </w:sdtPr>
        <w:sdtContent>
          <w:r w:rsidR="007A16A5" w:rsidRPr="00EB71A8">
            <w:rPr>
              <w:sz w:val="24"/>
              <w:szCs w:val="24"/>
            </w:rPr>
            <w:fldChar w:fldCharType="begin"/>
          </w:r>
          <w:r w:rsidRPr="00EB71A8">
            <w:rPr>
              <w:sz w:val="24"/>
              <w:szCs w:val="24"/>
            </w:rPr>
            <w:instrText xml:space="preserve"> CITATION Kee06 \l 2057 </w:instrText>
          </w:r>
          <w:r w:rsidR="007A16A5" w:rsidRPr="00EB71A8">
            <w:rPr>
              <w:sz w:val="24"/>
              <w:szCs w:val="24"/>
            </w:rPr>
            <w:fldChar w:fldCharType="separate"/>
          </w:r>
          <w:r w:rsidRPr="003348AF">
            <w:rPr>
              <w:noProof/>
              <w:sz w:val="24"/>
              <w:szCs w:val="24"/>
            </w:rPr>
            <w:t>(Keenan, et al., 2006)</w:t>
          </w:r>
          <w:r w:rsidR="007A16A5" w:rsidRPr="00EB71A8">
            <w:rPr>
              <w:sz w:val="24"/>
              <w:szCs w:val="24"/>
            </w:rPr>
            <w:fldChar w:fldCharType="end"/>
          </w:r>
        </w:sdtContent>
      </w:sdt>
      <w:r w:rsidRPr="00EB71A8">
        <w:rPr>
          <w:sz w:val="24"/>
          <w:szCs w:val="24"/>
        </w:rPr>
        <w:t>.</w:t>
      </w:r>
    </w:p>
    <w:p w:rsidR="00953E5C" w:rsidRPr="00EB71A8" w:rsidRDefault="00953E5C" w:rsidP="00953E5C">
      <w:pPr>
        <w:spacing w:line="360" w:lineRule="auto"/>
        <w:rPr>
          <w:sz w:val="24"/>
          <w:szCs w:val="24"/>
        </w:rPr>
      </w:pPr>
      <w:r w:rsidRPr="00EB71A8">
        <w:rPr>
          <w:sz w:val="24"/>
          <w:szCs w:val="24"/>
        </w:rPr>
        <w:t xml:space="preserve">This </w:t>
      </w:r>
      <w:r>
        <w:rPr>
          <w:sz w:val="24"/>
          <w:szCs w:val="24"/>
        </w:rPr>
        <w:t>paper seeks to determine whether there is a relationship between F</w:t>
      </w:r>
      <w:r w:rsidRPr="00EB71A8">
        <w:rPr>
          <w:sz w:val="24"/>
          <w:szCs w:val="24"/>
        </w:rPr>
        <w:t xml:space="preserve">PI </w:t>
      </w:r>
      <w:r>
        <w:rPr>
          <w:sz w:val="24"/>
          <w:szCs w:val="24"/>
        </w:rPr>
        <w:t xml:space="preserve">score, </w:t>
      </w:r>
      <w:r w:rsidRPr="00EB71A8">
        <w:rPr>
          <w:sz w:val="24"/>
          <w:szCs w:val="24"/>
        </w:rPr>
        <w:t>injury incidence</w:t>
      </w:r>
      <w:r>
        <w:rPr>
          <w:sz w:val="24"/>
          <w:szCs w:val="24"/>
        </w:rPr>
        <w:t xml:space="preserve"> rate (IR) and </w:t>
      </w:r>
      <w:r w:rsidRPr="00EB71A8">
        <w:rPr>
          <w:sz w:val="24"/>
          <w:szCs w:val="24"/>
        </w:rPr>
        <w:t>severity</w:t>
      </w:r>
      <w:r>
        <w:rPr>
          <w:sz w:val="24"/>
          <w:szCs w:val="24"/>
        </w:rPr>
        <w:t xml:space="preserve"> (TOTALDL) in a population of recreational runners</w:t>
      </w:r>
      <w:r w:rsidRPr="00EB71A8">
        <w:rPr>
          <w:sz w:val="24"/>
          <w:szCs w:val="24"/>
        </w:rPr>
        <w:t>.</w:t>
      </w:r>
    </w:p>
    <w:p w:rsidR="00953E5C" w:rsidRDefault="00953E5C" w:rsidP="00953E5C">
      <w:pPr>
        <w:pStyle w:val="Heading1"/>
      </w:pPr>
      <w:bookmarkStart w:id="8" w:name="_Toc216677167"/>
      <w:r>
        <w:lastRenderedPageBreak/>
        <w:t>Methods</w:t>
      </w:r>
      <w:bookmarkEnd w:id="8"/>
    </w:p>
    <w:p w:rsidR="00953E5C" w:rsidRDefault="00953E5C" w:rsidP="00953E5C">
      <w:pPr>
        <w:pStyle w:val="Heading2"/>
      </w:pPr>
      <w:bookmarkStart w:id="9" w:name="_Toc216677168"/>
      <w:r>
        <w:t>Subjects</w:t>
      </w:r>
      <w:bookmarkEnd w:id="9"/>
    </w:p>
    <w:p w:rsidR="00953E5C" w:rsidRPr="00EB71A8" w:rsidRDefault="00953E5C" w:rsidP="00953E5C">
      <w:pPr>
        <w:spacing w:line="360" w:lineRule="auto"/>
        <w:rPr>
          <w:rFonts w:ascii="Calibri" w:hAnsi="Calibri"/>
          <w:sz w:val="24"/>
          <w:szCs w:val="24"/>
        </w:rPr>
      </w:pPr>
      <w:r w:rsidRPr="00EB71A8">
        <w:rPr>
          <w:sz w:val="24"/>
          <w:szCs w:val="24"/>
        </w:rPr>
        <w:t>The study proposal was reviewed and approved by the College of Osteopath Research Ethics Board. A total of 115 recreational</w:t>
      </w:r>
      <w:r w:rsidRPr="00EB71A8">
        <w:rPr>
          <w:sz w:val="24"/>
          <w:szCs w:val="24"/>
          <w:vertAlign w:val="superscript"/>
        </w:rPr>
        <w:t xml:space="preserve"> </w:t>
      </w:r>
      <w:r w:rsidRPr="00EB71A8">
        <w:rPr>
          <w:sz w:val="24"/>
          <w:szCs w:val="24"/>
        </w:rPr>
        <w:t>runn</w:t>
      </w:r>
      <w:r>
        <w:rPr>
          <w:sz w:val="24"/>
          <w:szCs w:val="24"/>
        </w:rPr>
        <w:t>ers were recruited through face-</w:t>
      </w:r>
      <w:r w:rsidRPr="00EB71A8">
        <w:rPr>
          <w:sz w:val="24"/>
          <w:szCs w:val="24"/>
        </w:rPr>
        <w:t>to</w:t>
      </w:r>
      <w:r>
        <w:rPr>
          <w:sz w:val="24"/>
          <w:szCs w:val="24"/>
        </w:rPr>
        <w:t>-</w:t>
      </w:r>
      <w:r w:rsidRPr="00EB71A8">
        <w:rPr>
          <w:sz w:val="24"/>
          <w:szCs w:val="24"/>
        </w:rPr>
        <w:t xml:space="preserve">face contact in </w:t>
      </w:r>
      <w:r>
        <w:rPr>
          <w:sz w:val="24"/>
          <w:szCs w:val="24"/>
        </w:rPr>
        <w:t xml:space="preserve">one </w:t>
      </w:r>
      <w:r w:rsidRPr="00EB71A8">
        <w:rPr>
          <w:sz w:val="24"/>
          <w:szCs w:val="24"/>
        </w:rPr>
        <w:t>running</w:t>
      </w:r>
      <w:r w:rsidRPr="00EB71A8">
        <w:rPr>
          <w:sz w:val="24"/>
          <w:szCs w:val="24"/>
          <w:vertAlign w:val="superscript"/>
        </w:rPr>
        <w:t xml:space="preserve"> </w:t>
      </w:r>
      <w:r w:rsidRPr="00EB71A8">
        <w:rPr>
          <w:sz w:val="24"/>
          <w:szCs w:val="24"/>
        </w:rPr>
        <w:t>shoe store in London. The sample size was set</w:t>
      </w:r>
      <w:r>
        <w:rPr>
          <w:sz w:val="24"/>
          <w:szCs w:val="24"/>
        </w:rPr>
        <w:t xml:space="preserve"> at 100 and </w:t>
      </w:r>
      <w:r w:rsidRPr="00EB71A8">
        <w:rPr>
          <w:sz w:val="24"/>
          <w:szCs w:val="24"/>
        </w:rPr>
        <w:t>15 participants were excluded from the study. With 100 participants t</w:t>
      </w:r>
      <w:r w:rsidRPr="00EB71A8">
        <w:rPr>
          <w:rFonts w:ascii="Calibri" w:hAnsi="Calibri"/>
          <w:sz w:val="24"/>
          <w:szCs w:val="24"/>
        </w:rPr>
        <w:t>here is an 80% probability that the study would detect a relationship between the independent (FPI) and dependant variable</w:t>
      </w:r>
      <w:r>
        <w:rPr>
          <w:rFonts w:ascii="Calibri" w:hAnsi="Calibri"/>
          <w:sz w:val="24"/>
          <w:szCs w:val="24"/>
        </w:rPr>
        <w:t xml:space="preserve">s: injury incidence rate </w:t>
      </w:r>
      <w:r w:rsidRPr="00EB71A8">
        <w:rPr>
          <w:rFonts w:ascii="Calibri" w:hAnsi="Calibri"/>
          <w:sz w:val="24"/>
          <w:szCs w:val="24"/>
        </w:rPr>
        <w:t>(</w:t>
      </w:r>
      <w:r>
        <w:rPr>
          <w:rFonts w:ascii="Calibri" w:hAnsi="Calibri"/>
          <w:sz w:val="24"/>
          <w:szCs w:val="24"/>
        </w:rPr>
        <w:t>IR)</w:t>
      </w:r>
      <w:r w:rsidRPr="00EB71A8">
        <w:rPr>
          <w:rFonts w:ascii="Calibri" w:hAnsi="Calibri"/>
          <w:sz w:val="24"/>
          <w:szCs w:val="24"/>
        </w:rPr>
        <w:t xml:space="preserve"> and </w:t>
      </w:r>
      <w:r w:rsidRPr="003D3818">
        <w:rPr>
          <w:rFonts w:ascii="Calibri" w:hAnsi="Calibri"/>
          <w:sz w:val="24"/>
          <w:szCs w:val="24"/>
        </w:rPr>
        <w:t>severity or total days lost to injury</w:t>
      </w:r>
      <w:r w:rsidR="001D1B60">
        <w:rPr>
          <w:rFonts w:ascii="Calibri" w:hAnsi="Calibri"/>
          <w:sz w:val="24"/>
          <w:szCs w:val="24"/>
        </w:rPr>
        <w:t xml:space="preserve"> </w:t>
      </w:r>
      <w:r w:rsidRPr="003D3818">
        <w:rPr>
          <w:rFonts w:ascii="Calibri" w:hAnsi="Calibri"/>
          <w:sz w:val="24"/>
          <w:szCs w:val="24"/>
        </w:rPr>
        <w:t>(TOTALDL) at a two</w:t>
      </w:r>
      <w:r w:rsidRPr="00EB71A8">
        <w:rPr>
          <w:rFonts w:ascii="Calibri" w:hAnsi="Calibri"/>
          <w:sz w:val="24"/>
          <w:szCs w:val="24"/>
        </w:rPr>
        <w:t xml:space="preserve"> sided 5.000% significance level, if the true change in the dependent variables is 0.283 standard deviations per one standard deviation change in the independent variable (</w:t>
      </w:r>
      <w:proofErr w:type="spellStart"/>
      <w:r w:rsidRPr="00EB71A8">
        <w:rPr>
          <w:rFonts w:ascii="Calibri" w:hAnsi="Calibri"/>
          <w:sz w:val="24"/>
          <w:szCs w:val="24"/>
        </w:rPr>
        <w:t>Schoenfeld</w:t>
      </w:r>
      <w:proofErr w:type="spellEnd"/>
      <w:r w:rsidRPr="00EB71A8">
        <w:rPr>
          <w:rFonts w:ascii="Calibri" w:hAnsi="Calibri"/>
          <w:sz w:val="24"/>
          <w:szCs w:val="24"/>
        </w:rPr>
        <w:t xml:space="preserve">, 1995). </w:t>
      </w:r>
    </w:p>
    <w:p w:rsidR="00953E5C" w:rsidRPr="008772D0" w:rsidRDefault="00953E5C" w:rsidP="00953E5C">
      <w:pPr>
        <w:spacing w:line="360" w:lineRule="auto"/>
        <w:rPr>
          <w:sz w:val="24"/>
          <w:szCs w:val="24"/>
        </w:rPr>
      </w:pPr>
      <w:r w:rsidRPr="008772D0">
        <w:rPr>
          <w:sz w:val="24"/>
          <w:szCs w:val="24"/>
        </w:rPr>
        <w:t>To be included, subjects had to be over 18 and running less than</w:t>
      </w:r>
      <w:r w:rsidRPr="008772D0">
        <w:rPr>
          <w:sz w:val="24"/>
          <w:szCs w:val="24"/>
          <w:vertAlign w:val="superscript"/>
        </w:rPr>
        <w:t xml:space="preserve"> </w:t>
      </w:r>
      <w:r w:rsidRPr="008772D0">
        <w:rPr>
          <w:sz w:val="24"/>
          <w:szCs w:val="24"/>
        </w:rPr>
        <w:t>30 miles per week for women and 40 miles per week for men.  To minimise the influence</w:t>
      </w:r>
      <w:r w:rsidRPr="008772D0">
        <w:rPr>
          <w:sz w:val="24"/>
          <w:szCs w:val="24"/>
          <w:vertAlign w:val="superscript"/>
        </w:rPr>
        <w:t xml:space="preserve"> </w:t>
      </w:r>
      <w:r w:rsidRPr="008772D0">
        <w:rPr>
          <w:sz w:val="24"/>
          <w:szCs w:val="24"/>
        </w:rPr>
        <w:t>of injuries from other sports, subjects who regularly trained or participated more</w:t>
      </w:r>
      <w:r w:rsidRPr="008772D0">
        <w:rPr>
          <w:sz w:val="24"/>
          <w:szCs w:val="24"/>
          <w:vertAlign w:val="superscript"/>
        </w:rPr>
        <w:t xml:space="preserve"> </w:t>
      </w:r>
      <w:r w:rsidRPr="008772D0">
        <w:rPr>
          <w:sz w:val="24"/>
          <w:szCs w:val="24"/>
        </w:rPr>
        <w:t>than four times per week in other sports were excluded from</w:t>
      </w:r>
      <w:r w:rsidRPr="008772D0">
        <w:rPr>
          <w:sz w:val="24"/>
          <w:szCs w:val="24"/>
          <w:vertAlign w:val="superscript"/>
        </w:rPr>
        <w:t xml:space="preserve"> </w:t>
      </w:r>
      <w:r w:rsidRPr="008772D0">
        <w:rPr>
          <w:sz w:val="24"/>
          <w:szCs w:val="24"/>
        </w:rPr>
        <w:t xml:space="preserve">the study. </w:t>
      </w:r>
    </w:p>
    <w:p w:rsidR="00953E5C" w:rsidRDefault="00953E5C" w:rsidP="00953E5C">
      <w:pPr>
        <w:spacing w:line="360" w:lineRule="auto"/>
      </w:pPr>
    </w:p>
    <w:p w:rsidR="00953E5C" w:rsidRDefault="00953E5C" w:rsidP="00953E5C">
      <w:pPr>
        <w:pStyle w:val="Heading2"/>
      </w:pPr>
      <w:bookmarkStart w:id="10" w:name="_Toc216677169"/>
      <w:r>
        <w:t>Design</w:t>
      </w:r>
      <w:bookmarkEnd w:id="10"/>
    </w:p>
    <w:p w:rsidR="00953E5C" w:rsidRPr="00EB71A8" w:rsidRDefault="00953E5C" w:rsidP="00953E5C">
      <w:pPr>
        <w:spacing w:line="360" w:lineRule="auto"/>
        <w:rPr>
          <w:sz w:val="24"/>
          <w:szCs w:val="24"/>
        </w:rPr>
      </w:pPr>
      <w:r w:rsidRPr="00EB71A8">
        <w:rPr>
          <w:sz w:val="24"/>
          <w:szCs w:val="24"/>
        </w:rPr>
        <w:t>Subjects who met the inclusion criteria were</w:t>
      </w:r>
      <w:r w:rsidRPr="00EB71A8">
        <w:rPr>
          <w:sz w:val="24"/>
          <w:szCs w:val="24"/>
          <w:vertAlign w:val="superscript"/>
        </w:rPr>
        <w:t xml:space="preserve"> </w:t>
      </w:r>
      <w:r>
        <w:rPr>
          <w:sz w:val="24"/>
          <w:szCs w:val="24"/>
        </w:rPr>
        <w:t xml:space="preserve">provided with an </w:t>
      </w:r>
      <w:r w:rsidRPr="00EB71A8">
        <w:rPr>
          <w:sz w:val="24"/>
          <w:szCs w:val="24"/>
        </w:rPr>
        <w:t>explanation of the study. If the subject agreed to participate, verbal consent</w:t>
      </w:r>
      <w:r w:rsidRPr="00EB71A8">
        <w:rPr>
          <w:sz w:val="24"/>
          <w:szCs w:val="24"/>
          <w:vertAlign w:val="superscript"/>
        </w:rPr>
        <w:t xml:space="preserve"> </w:t>
      </w:r>
      <w:r>
        <w:rPr>
          <w:sz w:val="24"/>
          <w:szCs w:val="24"/>
        </w:rPr>
        <w:t>was obtained</w:t>
      </w:r>
      <w:r w:rsidRPr="00EB71A8">
        <w:rPr>
          <w:sz w:val="24"/>
          <w:szCs w:val="24"/>
        </w:rPr>
        <w:t xml:space="preserve"> and the subject completed a standard</w:t>
      </w:r>
      <w:r w:rsidRPr="00EB71A8">
        <w:rPr>
          <w:sz w:val="24"/>
          <w:szCs w:val="24"/>
          <w:vertAlign w:val="superscript"/>
        </w:rPr>
        <w:t xml:space="preserve"> </w:t>
      </w:r>
      <w:r w:rsidRPr="00EB71A8">
        <w:rPr>
          <w:sz w:val="24"/>
          <w:szCs w:val="24"/>
        </w:rPr>
        <w:t>questionnaire on age, height, weight, current running mileage, past musculoskeletal</w:t>
      </w:r>
      <w:r w:rsidRPr="00EB71A8">
        <w:rPr>
          <w:sz w:val="24"/>
          <w:szCs w:val="24"/>
          <w:vertAlign w:val="superscript"/>
        </w:rPr>
        <w:t xml:space="preserve"> </w:t>
      </w:r>
      <w:r w:rsidRPr="00EB71A8">
        <w:rPr>
          <w:sz w:val="24"/>
          <w:szCs w:val="24"/>
        </w:rPr>
        <w:t xml:space="preserve">injuries, </w:t>
      </w:r>
      <w:r>
        <w:rPr>
          <w:sz w:val="24"/>
          <w:szCs w:val="24"/>
        </w:rPr>
        <w:t>c</w:t>
      </w:r>
      <w:r w:rsidRPr="00EB71A8">
        <w:rPr>
          <w:sz w:val="24"/>
          <w:szCs w:val="24"/>
        </w:rPr>
        <w:t>ross training and rest days</w:t>
      </w:r>
      <w:r>
        <w:rPr>
          <w:sz w:val="24"/>
          <w:szCs w:val="24"/>
        </w:rPr>
        <w:t xml:space="preserve"> (see </w:t>
      </w:r>
      <w:r w:rsidRPr="003D3818">
        <w:rPr>
          <w:sz w:val="24"/>
          <w:szCs w:val="24"/>
        </w:rPr>
        <w:t xml:space="preserve">appendix </w:t>
      </w:r>
      <w:r>
        <w:rPr>
          <w:sz w:val="24"/>
          <w:szCs w:val="24"/>
        </w:rPr>
        <w:t>c)</w:t>
      </w:r>
      <w:r w:rsidRPr="00EB71A8">
        <w:rPr>
          <w:sz w:val="24"/>
          <w:szCs w:val="24"/>
        </w:rPr>
        <w:t xml:space="preserve">. FPI measurements were performed following the methodology in appendix d. FPI scores ranged from -12 (highly </w:t>
      </w:r>
      <w:proofErr w:type="spellStart"/>
      <w:r w:rsidRPr="00EB71A8">
        <w:rPr>
          <w:sz w:val="24"/>
          <w:szCs w:val="24"/>
        </w:rPr>
        <w:t>supninated</w:t>
      </w:r>
      <w:proofErr w:type="spellEnd"/>
      <w:r w:rsidRPr="00EB71A8">
        <w:rPr>
          <w:sz w:val="24"/>
          <w:szCs w:val="24"/>
        </w:rPr>
        <w:t xml:space="preserve">) to +12 (highly </w:t>
      </w:r>
      <w:proofErr w:type="spellStart"/>
      <w:r w:rsidRPr="00EB71A8">
        <w:rPr>
          <w:sz w:val="24"/>
          <w:szCs w:val="24"/>
        </w:rPr>
        <w:t>pronated</w:t>
      </w:r>
      <w:proofErr w:type="spellEnd"/>
      <w:r w:rsidRPr="00EB71A8">
        <w:rPr>
          <w:sz w:val="24"/>
          <w:szCs w:val="24"/>
        </w:rPr>
        <w:t>)</w:t>
      </w:r>
      <w:r>
        <w:rPr>
          <w:sz w:val="24"/>
          <w:szCs w:val="24"/>
        </w:rPr>
        <w:t>,</w:t>
      </w:r>
      <w:r w:rsidRPr="00EB71A8">
        <w:rPr>
          <w:sz w:val="24"/>
          <w:szCs w:val="24"/>
        </w:rPr>
        <w:t xml:space="preserve"> with 0 to +5 representing a neutral foot. All measurements were performed by one investigator. Data was collected in </w:t>
      </w:r>
      <w:r>
        <w:rPr>
          <w:sz w:val="24"/>
          <w:szCs w:val="24"/>
        </w:rPr>
        <w:t>the London</w:t>
      </w:r>
      <w:r w:rsidRPr="00EB71A8">
        <w:rPr>
          <w:sz w:val="24"/>
          <w:szCs w:val="24"/>
        </w:rPr>
        <w:t xml:space="preserve"> running shoe shop.</w:t>
      </w:r>
    </w:p>
    <w:p w:rsidR="00953E5C" w:rsidRPr="00CD6D28" w:rsidRDefault="00953E5C" w:rsidP="00953E5C">
      <w:pPr>
        <w:pStyle w:val="Heading3"/>
        <w:rPr>
          <w:rFonts w:ascii="Calibri" w:hAnsi="Calibri"/>
        </w:rPr>
      </w:pPr>
      <w:bookmarkStart w:id="11" w:name="_Toc216677170"/>
      <w:r>
        <w:rPr>
          <w:rFonts w:ascii="Calibri" w:hAnsi="Calibri"/>
        </w:rPr>
        <w:t>The Questionnaire</w:t>
      </w:r>
      <w:bookmarkEnd w:id="11"/>
    </w:p>
    <w:p w:rsidR="00953E5C" w:rsidRPr="00EB71A8" w:rsidRDefault="00953E5C" w:rsidP="00953E5C">
      <w:pPr>
        <w:spacing w:line="360" w:lineRule="auto"/>
        <w:rPr>
          <w:rFonts w:ascii="Calibri" w:hAnsi="Calibri"/>
          <w:sz w:val="24"/>
          <w:szCs w:val="24"/>
        </w:rPr>
      </w:pPr>
      <w:r w:rsidRPr="00EB71A8">
        <w:rPr>
          <w:rFonts w:ascii="Calibri" w:hAnsi="Calibri"/>
          <w:sz w:val="24"/>
          <w:szCs w:val="24"/>
        </w:rPr>
        <w:t>The questionnaire was divided into three sections:</w:t>
      </w:r>
    </w:p>
    <w:p w:rsidR="00953E5C" w:rsidRPr="00EB71A8" w:rsidRDefault="00953E5C" w:rsidP="00953E5C">
      <w:pPr>
        <w:pStyle w:val="ListParagraph"/>
        <w:numPr>
          <w:ilvl w:val="0"/>
          <w:numId w:val="1"/>
        </w:numPr>
        <w:spacing w:line="360" w:lineRule="auto"/>
        <w:rPr>
          <w:rFonts w:ascii="Calibri" w:hAnsi="Calibri"/>
        </w:rPr>
      </w:pPr>
      <w:r w:rsidRPr="00281911">
        <w:rPr>
          <w:rFonts w:ascii="Calibri" w:hAnsi="Calibri"/>
          <w:b/>
        </w:rPr>
        <w:t>Demographics</w:t>
      </w:r>
      <w:r>
        <w:rPr>
          <w:rFonts w:ascii="Calibri" w:hAnsi="Calibri"/>
        </w:rPr>
        <w:t>:</w:t>
      </w:r>
      <w:r w:rsidRPr="00EB71A8">
        <w:rPr>
          <w:rFonts w:ascii="Calibri" w:hAnsi="Calibri"/>
        </w:rPr>
        <w:t xml:space="preserve"> The age, sex, height, and weight of the subjects were recorded. </w:t>
      </w:r>
    </w:p>
    <w:p w:rsidR="00953E5C" w:rsidRPr="00EB71A8" w:rsidRDefault="00953E5C" w:rsidP="00953E5C">
      <w:pPr>
        <w:pStyle w:val="ListParagraph"/>
        <w:numPr>
          <w:ilvl w:val="0"/>
          <w:numId w:val="1"/>
        </w:numPr>
        <w:spacing w:line="360" w:lineRule="auto"/>
        <w:rPr>
          <w:rFonts w:ascii="Calibri" w:hAnsi="Calibri"/>
        </w:rPr>
      </w:pPr>
      <w:r w:rsidRPr="00281911">
        <w:rPr>
          <w:rFonts w:ascii="Calibri" w:hAnsi="Calibri"/>
          <w:b/>
        </w:rPr>
        <w:t>Training</w:t>
      </w:r>
      <w:r>
        <w:rPr>
          <w:rFonts w:ascii="Calibri" w:hAnsi="Calibri"/>
        </w:rPr>
        <w:t>:</w:t>
      </w:r>
      <w:r w:rsidRPr="00EB71A8">
        <w:rPr>
          <w:rFonts w:ascii="Calibri" w:hAnsi="Calibri"/>
        </w:rPr>
        <w:t xml:space="preserve"> The questionnaire pertained to the previous 12 months of training. This </w:t>
      </w:r>
      <w:r>
        <w:rPr>
          <w:rFonts w:ascii="Calibri" w:hAnsi="Calibri"/>
        </w:rPr>
        <w:t>period</w:t>
      </w:r>
      <w:r w:rsidRPr="00EB71A8">
        <w:rPr>
          <w:rFonts w:ascii="Calibri" w:hAnsi="Calibri"/>
        </w:rPr>
        <w:t xml:space="preserve"> was chosen to cover one competitive season. Participants were asked to </w:t>
      </w:r>
      <w:r>
        <w:rPr>
          <w:rFonts w:ascii="Calibri" w:hAnsi="Calibri"/>
        </w:rPr>
        <w:t>provide</w:t>
      </w:r>
      <w:r w:rsidRPr="00EB71A8">
        <w:rPr>
          <w:rFonts w:ascii="Calibri" w:hAnsi="Calibri"/>
        </w:rPr>
        <w:t xml:space="preserve"> </w:t>
      </w:r>
      <w:r>
        <w:rPr>
          <w:rFonts w:ascii="Calibri" w:hAnsi="Calibri"/>
        </w:rPr>
        <w:t xml:space="preserve">details of their </w:t>
      </w:r>
      <w:r w:rsidRPr="00EB71A8">
        <w:rPr>
          <w:rFonts w:ascii="Calibri" w:hAnsi="Calibri"/>
        </w:rPr>
        <w:t>weekly mileage</w:t>
      </w:r>
      <w:r>
        <w:rPr>
          <w:rFonts w:ascii="Calibri" w:hAnsi="Calibri"/>
        </w:rPr>
        <w:t>, n</w:t>
      </w:r>
      <w:r w:rsidRPr="00EB71A8">
        <w:rPr>
          <w:rFonts w:ascii="Calibri" w:hAnsi="Calibri"/>
        </w:rPr>
        <w:t xml:space="preserve">umbers of days </w:t>
      </w:r>
      <w:r>
        <w:rPr>
          <w:rFonts w:ascii="Calibri" w:hAnsi="Calibri"/>
        </w:rPr>
        <w:t>spent cross-</w:t>
      </w:r>
      <w:r w:rsidRPr="00EB71A8">
        <w:rPr>
          <w:rFonts w:ascii="Calibri" w:hAnsi="Calibri"/>
        </w:rPr>
        <w:t xml:space="preserve">training </w:t>
      </w:r>
      <w:r>
        <w:rPr>
          <w:rFonts w:ascii="Calibri" w:hAnsi="Calibri"/>
        </w:rPr>
        <w:t>and</w:t>
      </w:r>
      <w:r w:rsidRPr="00EB71A8">
        <w:rPr>
          <w:rFonts w:ascii="Calibri" w:hAnsi="Calibri"/>
        </w:rPr>
        <w:t xml:space="preserve"> the </w:t>
      </w:r>
      <w:r w:rsidRPr="00EB71A8">
        <w:rPr>
          <w:rFonts w:ascii="Calibri" w:hAnsi="Calibri"/>
        </w:rPr>
        <w:lastRenderedPageBreak/>
        <w:t>number of rest days</w:t>
      </w:r>
      <w:r>
        <w:rPr>
          <w:rFonts w:ascii="Calibri" w:hAnsi="Calibri"/>
        </w:rPr>
        <w:t xml:space="preserve"> in an average week</w:t>
      </w:r>
      <w:r w:rsidRPr="00EB71A8">
        <w:rPr>
          <w:rFonts w:ascii="Calibri" w:hAnsi="Calibri"/>
        </w:rPr>
        <w:t>.</w:t>
      </w:r>
    </w:p>
    <w:p w:rsidR="00953E5C" w:rsidRDefault="00953E5C" w:rsidP="00953E5C">
      <w:pPr>
        <w:pStyle w:val="ListParagraph"/>
        <w:numPr>
          <w:ilvl w:val="0"/>
          <w:numId w:val="1"/>
        </w:numPr>
        <w:spacing w:line="360" w:lineRule="auto"/>
        <w:rPr>
          <w:rFonts w:ascii="Calibri" w:hAnsi="Calibri"/>
        </w:rPr>
      </w:pPr>
      <w:r w:rsidRPr="00281911">
        <w:rPr>
          <w:rFonts w:ascii="Calibri" w:hAnsi="Calibri"/>
          <w:b/>
        </w:rPr>
        <w:t>Injuries</w:t>
      </w:r>
      <w:r>
        <w:rPr>
          <w:rFonts w:ascii="Calibri" w:hAnsi="Calibri"/>
        </w:rPr>
        <w:t xml:space="preserve">: </w:t>
      </w:r>
      <w:r w:rsidRPr="00EB71A8">
        <w:rPr>
          <w:rFonts w:ascii="Calibri" w:hAnsi="Calibri"/>
        </w:rPr>
        <w:t xml:space="preserve">An injury was defined as ‘‘any musculoskeletal problem causing cessation of training for at least one day, reduction in training mileage, taking of medicine, or seeking of medical aid.’’ (Fordham et al, 2004 p301).  </w:t>
      </w:r>
      <w:r>
        <w:rPr>
          <w:rFonts w:ascii="Calibri" w:hAnsi="Calibri"/>
        </w:rPr>
        <w:t>Separate sections of the questionnaire were completed for two categories of injury:</w:t>
      </w:r>
    </w:p>
    <w:p w:rsidR="00953E5C" w:rsidRDefault="00953E5C" w:rsidP="00953E5C">
      <w:pPr>
        <w:pStyle w:val="ListParagraph"/>
        <w:numPr>
          <w:ilvl w:val="1"/>
          <w:numId w:val="1"/>
        </w:numPr>
        <w:spacing w:line="360" w:lineRule="auto"/>
        <w:rPr>
          <w:rFonts w:ascii="Calibri" w:hAnsi="Calibri"/>
        </w:rPr>
      </w:pPr>
      <w:r w:rsidRPr="00EB71A8">
        <w:rPr>
          <w:rFonts w:ascii="Calibri" w:hAnsi="Calibri"/>
        </w:rPr>
        <w:t>Stress or overuse injuries</w:t>
      </w:r>
      <w:r>
        <w:rPr>
          <w:rFonts w:ascii="Calibri" w:hAnsi="Calibri"/>
        </w:rPr>
        <w:t xml:space="preserve">: </w:t>
      </w:r>
      <w:r w:rsidRPr="00EB71A8">
        <w:rPr>
          <w:rFonts w:ascii="Calibri" w:hAnsi="Calibri"/>
        </w:rPr>
        <w:t xml:space="preserve">resulting from gradual accumulation of </w:t>
      </w:r>
      <w:r>
        <w:rPr>
          <w:rFonts w:ascii="Calibri" w:hAnsi="Calibri"/>
        </w:rPr>
        <w:t>physical stress during training</w:t>
      </w:r>
    </w:p>
    <w:p w:rsidR="00953E5C" w:rsidRDefault="00953E5C" w:rsidP="00953E5C">
      <w:pPr>
        <w:pStyle w:val="ListParagraph"/>
        <w:numPr>
          <w:ilvl w:val="1"/>
          <w:numId w:val="1"/>
        </w:numPr>
        <w:spacing w:line="360" w:lineRule="auto"/>
        <w:rPr>
          <w:rFonts w:ascii="Calibri" w:hAnsi="Calibri"/>
        </w:rPr>
      </w:pPr>
      <w:r>
        <w:rPr>
          <w:rFonts w:ascii="Calibri" w:hAnsi="Calibri"/>
        </w:rPr>
        <w:t>T</w:t>
      </w:r>
      <w:r w:rsidRPr="00EB71A8">
        <w:rPr>
          <w:rFonts w:ascii="Calibri" w:hAnsi="Calibri"/>
        </w:rPr>
        <w:t>raumatic injuries</w:t>
      </w:r>
      <w:r>
        <w:rPr>
          <w:rFonts w:ascii="Calibri" w:hAnsi="Calibri"/>
        </w:rPr>
        <w:t xml:space="preserve">: </w:t>
      </w:r>
      <w:r w:rsidRPr="00EB71A8">
        <w:rPr>
          <w:rFonts w:ascii="Calibri" w:hAnsi="Calibri"/>
        </w:rPr>
        <w:t>occurring in a b</w:t>
      </w:r>
      <w:r>
        <w:rPr>
          <w:rFonts w:ascii="Calibri" w:hAnsi="Calibri"/>
        </w:rPr>
        <w:t>rief moment of time or accident</w:t>
      </w:r>
    </w:p>
    <w:p w:rsidR="00953E5C" w:rsidRPr="008772D0" w:rsidRDefault="00953E5C" w:rsidP="00953E5C">
      <w:pPr>
        <w:spacing w:line="360" w:lineRule="auto"/>
        <w:ind w:left="720"/>
        <w:rPr>
          <w:rFonts w:ascii="Calibri" w:hAnsi="Calibri"/>
          <w:sz w:val="24"/>
          <w:szCs w:val="24"/>
        </w:rPr>
      </w:pPr>
      <w:r w:rsidRPr="008772D0">
        <w:rPr>
          <w:rFonts w:ascii="Calibri" w:hAnsi="Calibri"/>
          <w:sz w:val="24"/>
          <w:szCs w:val="24"/>
        </w:rPr>
        <w:t>Information on the anatomical site, the number of days of training lost, and the seeking of medical help were recorded.   The anatomical sites recorded were: neck, shoulder, arm (including elbow/wrist/hand), thoracic spine, lumbar spine and pelvis, groin, front of thigh, hamstrings, knee, calf, shin, Achilles tendon, ankle, foot, other.</w:t>
      </w:r>
    </w:p>
    <w:p w:rsidR="00953E5C" w:rsidRPr="00EB71A8" w:rsidRDefault="00953E5C" w:rsidP="00953E5C">
      <w:pPr>
        <w:spacing w:line="360" w:lineRule="auto"/>
        <w:rPr>
          <w:sz w:val="24"/>
          <w:szCs w:val="24"/>
        </w:rPr>
      </w:pPr>
      <w:r w:rsidRPr="00EB71A8">
        <w:rPr>
          <w:rFonts w:ascii="Calibri" w:hAnsi="Calibri"/>
          <w:sz w:val="24"/>
          <w:szCs w:val="24"/>
        </w:rPr>
        <w:t xml:space="preserve">Data was entered into </w:t>
      </w:r>
      <w:r>
        <w:rPr>
          <w:rFonts w:ascii="Calibri" w:hAnsi="Calibri"/>
          <w:sz w:val="24"/>
          <w:szCs w:val="24"/>
        </w:rPr>
        <w:t>an electronic form</w:t>
      </w:r>
      <w:r w:rsidRPr="00EB71A8">
        <w:rPr>
          <w:rFonts w:ascii="Calibri" w:hAnsi="Calibri"/>
          <w:sz w:val="24"/>
          <w:szCs w:val="24"/>
        </w:rPr>
        <w:t xml:space="preserve">, which allow direct transfer of data for statistical analysis and minimised transcription errors. </w:t>
      </w:r>
    </w:p>
    <w:p w:rsidR="00953E5C" w:rsidRDefault="00953E5C" w:rsidP="00953E5C">
      <w:pPr>
        <w:pStyle w:val="Heading2"/>
      </w:pPr>
      <w:bookmarkStart w:id="12" w:name="_Toc216677171"/>
      <w:r>
        <w:t>Dependant Variables</w:t>
      </w:r>
      <w:bookmarkEnd w:id="12"/>
    </w:p>
    <w:p w:rsidR="00953E5C" w:rsidRDefault="00953E5C" w:rsidP="00953E5C">
      <w:pPr>
        <w:spacing w:line="360" w:lineRule="auto"/>
        <w:rPr>
          <w:sz w:val="24"/>
          <w:szCs w:val="24"/>
        </w:rPr>
      </w:pPr>
      <w:r w:rsidRPr="00EB71A8">
        <w:rPr>
          <w:sz w:val="24"/>
          <w:szCs w:val="24"/>
        </w:rPr>
        <w:t xml:space="preserve">The </w:t>
      </w:r>
      <w:r>
        <w:rPr>
          <w:sz w:val="24"/>
          <w:szCs w:val="24"/>
        </w:rPr>
        <w:t>variables measured</w:t>
      </w:r>
      <w:r w:rsidRPr="00EB71A8">
        <w:rPr>
          <w:sz w:val="24"/>
          <w:szCs w:val="24"/>
        </w:rPr>
        <w:t xml:space="preserve"> </w:t>
      </w:r>
      <w:r>
        <w:rPr>
          <w:sz w:val="24"/>
          <w:szCs w:val="24"/>
        </w:rPr>
        <w:t>by</w:t>
      </w:r>
      <w:r w:rsidRPr="00EB71A8">
        <w:rPr>
          <w:sz w:val="24"/>
          <w:szCs w:val="24"/>
        </w:rPr>
        <w:t xml:space="preserve"> the study were FPI score</w:t>
      </w:r>
      <w:r>
        <w:rPr>
          <w:sz w:val="24"/>
          <w:szCs w:val="24"/>
        </w:rPr>
        <w:t xml:space="preserve"> (FPI)</w:t>
      </w:r>
      <w:r w:rsidRPr="00EB71A8">
        <w:rPr>
          <w:sz w:val="24"/>
          <w:szCs w:val="24"/>
        </w:rPr>
        <w:t xml:space="preserve">, </w:t>
      </w:r>
      <w:r>
        <w:rPr>
          <w:rFonts w:ascii="Calibri" w:hAnsi="Calibri"/>
          <w:sz w:val="24"/>
          <w:szCs w:val="24"/>
        </w:rPr>
        <w:t xml:space="preserve">injury incidence rate </w:t>
      </w:r>
      <w:r w:rsidRPr="00EB71A8">
        <w:rPr>
          <w:rFonts w:ascii="Calibri" w:hAnsi="Calibri"/>
          <w:sz w:val="24"/>
          <w:szCs w:val="24"/>
        </w:rPr>
        <w:t>(</w:t>
      </w:r>
      <w:r>
        <w:rPr>
          <w:rFonts w:ascii="Calibri" w:hAnsi="Calibri"/>
          <w:sz w:val="24"/>
          <w:szCs w:val="24"/>
        </w:rPr>
        <w:t>IR)</w:t>
      </w:r>
      <w:r w:rsidRPr="00EB71A8">
        <w:rPr>
          <w:rFonts w:ascii="Calibri" w:hAnsi="Calibri"/>
          <w:sz w:val="24"/>
          <w:szCs w:val="24"/>
        </w:rPr>
        <w:t xml:space="preserve"> and </w:t>
      </w:r>
      <w:r>
        <w:rPr>
          <w:rFonts w:ascii="Calibri" w:hAnsi="Calibri"/>
          <w:sz w:val="24"/>
          <w:szCs w:val="24"/>
        </w:rPr>
        <w:t xml:space="preserve">severity of injury, measured as </w:t>
      </w:r>
      <w:r w:rsidRPr="00EB71A8">
        <w:rPr>
          <w:sz w:val="24"/>
          <w:szCs w:val="24"/>
        </w:rPr>
        <w:t>total number of days training lost</w:t>
      </w:r>
      <w:r>
        <w:rPr>
          <w:rFonts w:ascii="Calibri" w:hAnsi="Calibri"/>
          <w:sz w:val="24"/>
          <w:szCs w:val="24"/>
        </w:rPr>
        <w:t xml:space="preserve"> (T</w:t>
      </w:r>
      <w:r>
        <w:rPr>
          <w:sz w:val="24"/>
          <w:szCs w:val="24"/>
        </w:rPr>
        <w:t>OTALDL)</w:t>
      </w:r>
      <w:r w:rsidRPr="00EB71A8">
        <w:rPr>
          <w:sz w:val="24"/>
          <w:szCs w:val="24"/>
        </w:rPr>
        <w:t xml:space="preserve">. </w:t>
      </w:r>
    </w:p>
    <w:p w:rsidR="00953E5C" w:rsidRDefault="00953E5C" w:rsidP="00953E5C">
      <w:pPr>
        <w:spacing w:line="360" w:lineRule="auto"/>
        <w:rPr>
          <w:rFonts w:ascii="Calibri" w:hAnsi="Calibri"/>
          <w:sz w:val="24"/>
          <w:szCs w:val="24"/>
        </w:rPr>
      </w:pPr>
      <w:r w:rsidRPr="00EB71A8">
        <w:rPr>
          <w:sz w:val="24"/>
          <w:szCs w:val="24"/>
        </w:rPr>
        <w:t xml:space="preserve">IR was calculated following </w:t>
      </w:r>
      <w:r w:rsidRPr="00EB71A8">
        <w:rPr>
          <w:rFonts w:ascii="Calibri" w:hAnsi="Calibri"/>
          <w:sz w:val="24"/>
          <w:szCs w:val="24"/>
        </w:rPr>
        <w:t xml:space="preserve">methodology of </w:t>
      </w:r>
      <w:proofErr w:type="spellStart"/>
      <w:r w:rsidRPr="00EB71A8">
        <w:rPr>
          <w:rFonts w:ascii="Calibri" w:hAnsi="Calibri"/>
          <w:sz w:val="24"/>
          <w:szCs w:val="24"/>
        </w:rPr>
        <w:t>Rauh</w:t>
      </w:r>
      <w:proofErr w:type="spellEnd"/>
      <w:r w:rsidRPr="00EB71A8">
        <w:rPr>
          <w:rFonts w:ascii="Calibri" w:hAnsi="Calibri"/>
          <w:sz w:val="24"/>
          <w:szCs w:val="24"/>
        </w:rPr>
        <w:t xml:space="preserve"> et al </w:t>
      </w:r>
      <w:sdt>
        <w:sdtPr>
          <w:rPr>
            <w:rFonts w:ascii="Calibri" w:hAnsi="Calibri"/>
            <w:sz w:val="24"/>
            <w:szCs w:val="24"/>
          </w:rPr>
          <w:id w:val="588557222"/>
          <w:citation/>
        </w:sdtPr>
        <w:sdtContent>
          <w:r w:rsidR="007A16A5" w:rsidRPr="00EB71A8">
            <w:rPr>
              <w:rFonts w:ascii="Calibri" w:hAnsi="Calibri"/>
              <w:sz w:val="24"/>
              <w:szCs w:val="24"/>
            </w:rPr>
            <w:fldChar w:fldCharType="begin"/>
          </w:r>
          <w:r w:rsidRPr="00EB71A8">
            <w:rPr>
              <w:rFonts w:ascii="Calibri" w:hAnsi="Calibri"/>
              <w:sz w:val="24"/>
              <w:szCs w:val="24"/>
            </w:rPr>
            <w:instrText xml:space="preserve"> CITATION Rau06 \n  \l 2057  </w:instrText>
          </w:r>
          <w:r w:rsidR="007A16A5" w:rsidRPr="00EB71A8">
            <w:rPr>
              <w:rFonts w:ascii="Calibri" w:hAnsi="Calibri"/>
              <w:sz w:val="24"/>
              <w:szCs w:val="24"/>
            </w:rPr>
            <w:fldChar w:fldCharType="separate"/>
          </w:r>
          <w:r w:rsidRPr="003348AF">
            <w:rPr>
              <w:rFonts w:ascii="Calibri" w:hAnsi="Calibri"/>
              <w:noProof/>
              <w:sz w:val="24"/>
              <w:szCs w:val="24"/>
            </w:rPr>
            <w:t>(2006)</w:t>
          </w:r>
          <w:r w:rsidR="007A16A5" w:rsidRPr="00EB71A8">
            <w:rPr>
              <w:rFonts w:ascii="Calibri" w:hAnsi="Calibri"/>
              <w:sz w:val="24"/>
              <w:szCs w:val="24"/>
            </w:rPr>
            <w:fldChar w:fldCharType="end"/>
          </w:r>
        </w:sdtContent>
      </w:sdt>
      <w:r w:rsidRPr="00EB71A8">
        <w:rPr>
          <w:rFonts w:ascii="Calibri" w:hAnsi="Calibri"/>
          <w:sz w:val="24"/>
          <w:szCs w:val="24"/>
        </w:rPr>
        <w:t xml:space="preserve"> this is expressed in the formula</w:t>
      </w:r>
      <w:r w:rsidRPr="00EB71A8">
        <w:rPr>
          <w:rFonts w:ascii="Calibri" w:hAnsi="Calibri"/>
          <w:position w:val="-24"/>
          <w:sz w:val="24"/>
          <w:szCs w:val="24"/>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v:imagedata r:id="rId6" o:title=""/>
          </v:shape>
          <o:OLEObject Type="Embed" ProgID="Equation.3" ShapeID="_x0000_i1025" DrawAspect="Content" ObjectID="_1322138094" r:id="rId7"/>
        </w:object>
      </w:r>
      <w:r w:rsidRPr="00EB71A8">
        <w:rPr>
          <w:rFonts w:ascii="Calibri" w:hAnsi="Calibri"/>
          <w:sz w:val="24"/>
          <w:szCs w:val="24"/>
        </w:rPr>
        <w:t xml:space="preserve">where </w:t>
      </w:r>
      <w:proofErr w:type="spellStart"/>
      <w:r w:rsidRPr="00EB71A8">
        <w:rPr>
          <w:rFonts w:ascii="Calibri" w:hAnsi="Calibri"/>
          <w:sz w:val="24"/>
          <w:szCs w:val="24"/>
        </w:rPr>
        <w:t>i</w:t>
      </w:r>
      <w:proofErr w:type="spellEnd"/>
      <w:r w:rsidRPr="00EB71A8">
        <w:rPr>
          <w:rFonts w:ascii="Calibri" w:hAnsi="Calibri"/>
          <w:sz w:val="24"/>
          <w:szCs w:val="24"/>
        </w:rPr>
        <w:t xml:space="preserve"> =TOTALO+TOTALT, AE (Athletic Exposure) =MPW*52. </w:t>
      </w:r>
    </w:p>
    <w:p w:rsidR="00953E5C" w:rsidRDefault="00953E5C" w:rsidP="00953E5C">
      <w:pPr>
        <w:spacing w:line="360" w:lineRule="auto"/>
        <w:rPr>
          <w:rFonts w:ascii="Calibri" w:hAnsi="Calibri"/>
          <w:sz w:val="24"/>
          <w:szCs w:val="24"/>
        </w:rPr>
      </w:pPr>
      <w:r w:rsidRPr="00EB71A8">
        <w:rPr>
          <w:rFonts w:ascii="Calibri" w:hAnsi="Calibri"/>
          <w:sz w:val="24"/>
          <w:szCs w:val="24"/>
        </w:rPr>
        <w:t xml:space="preserve">A full list of variables is listed in appendix e. Other variables of secondary interest </w:t>
      </w:r>
      <w:r>
        <w:rPr>
          <w:rFonts w:ascii="Calibri" w:hAnsi="Calibri"/>
          <w:sz w:val="24"/>
          <w:szCs w:val="24"/>
        </w:rPr>
        <w:t>are:</w:t>
      </w:r>
      <w:r w:rsidRPr="00EB71A8">
        <w:rPr>
          <w:rFonts w:ascii="Calibri" w:hAnsi="Calibri"/>
          <w:sz w:val="24"/>
          <w:szCs w:val="24"/>
        </w:rPr>
        <w:t xml:space="preserve"> height, weight, age, number of rest days and number of days spent cross-training.</w:t>
      </w:r>
    </w:p>
    <w:p w:rsidR="00953E5C" w:rsidRDefault="00953E5C" w:rsidP="00953E5C">
      <w:pPr>
        <w:pStyle w:val="Heading2"/>
      </w:pPr>
      <w:bookmarkStart w:id="13" w:name="_Toc216677172"/>
      <w:r>
        <w:t>Null Hypothesis</w:t>
      </w:r>
      <w:bookmarkEnd w:id="13"/>
    </w:p>
    <w:p w:rsidR="00953E5C" w:rsidRPr="00EB71A8" w:rsidRDefault="00953E5C" w:rsidP="00953E5C">
      <w:pPr>
        <w:spacing w:line="360" w:lineRule="auto"/>
        <w:rPr>
          <w:sz w:val="24"/>
          <w:szCs w:val="24"/>
        </w:rPr>
      </w:pPr>
      <w:r>
        <w:rPr>
          <w:sz w:val="24"/>
          <w:szCs w:val="24"/>
        </w:rPr>
        <w:t>The null hypothesis is that there is no relationship between FPI, injury incidence rate and severity in recreational runners.</w:t>
      </w:r>
    </w:p>
    <w:p w:rsidR="00953E5C" w:rsidRDefault="00953E5C" w:rsidP="00953E5C">
      <w:pPr>
        <w:pStyle w:val="Heading2"/>
      </w:pPr>
      <w:bookmarkStart w:id="14" w:name="_Toc216677173"/>
      <w:r>
        <w:t>Data Analysis</w:t>
      </w:r>
      <w:bookmarkEnd w:id="14"/>
    </w:p>
    <w:p w:rsidR="00953E5C" w:rsidRPr="00EB71A8" w:rsidRDefault="00953E5C" w:rsidP="00953E5C">
      <w:pPr>
        <w:spacing w:line="360" w:lineRule="auto"/>
        <w:rPr>
          <w:sz w:val="24"/>
          <w:szCs w:val="24"/>
        </w:rPr>
      </w:pPr>
      <w:r w:rsidRPr="00EB71A8">
        <w:rPr>
          <w:sz w:val="24"/>
          <w:szCs w:val="24"/>
        </w:rPr>
        <w:t xml:space="preserve">Data analysis was carried out using SPSS 17.0 statistical analysis software. </w:t>
      </w:r>
      <w:r>
        <w:rPr>
          <w:sz w:val="24"/>
          <w:szCs w:val="24"/>
        </w:rPr>
        <w:t>No data was taken from s</w:t>
      </w:r>
      <w:r w:rsidRPr="00EB71A8">
        <w:rPr>
          <w:sz w:val="24"/>
          <w:szCs w:val="24"/>
        </w:rPr>
        <w:t xml:space="preserve">ubjects that did not fall within the inclusion criteria. </w:t>
      </w:r>
    </w:p>
    <w:p w:rsidR="00953E5C" w:rsidRPr="00EB71A8" w:rsidRDefault="00953E5C" w:rsidP="00953E5C">
      <w:pPr>
        <w:spacing w:line="360" w:lineRule="auto"/>
        <w:rPr>
          <w:sz w:val="24"/>
          <w:szCs w:val="24"/>
        </w:rPr>
      </w:pPr>
      <w:r w:rsidRPr="00EB71A8">
        <w:rPr>
          <w:sz w:val="24"/>
          <w:szCs w:val="24"/>
        </w:rPr>
        <w:lastRenderedPageBreak/>
        <w:t xml:space="preserve">All participants were scored on an FPI scale from -12 to +12. Participants that had sustained no injuries during the previous year were given scores of 0 </w:t>
      </w:r>
      <w:r>
        <w:rPr>
          <w:sz w:val="24"/>
          <w:szCs w:val="24"/>
        </w:rPr>
        <w:t>for</w:t>
      </w:r>
      <w:r w:rsidRPr="00EB71A8">
        <w:rPr>
          <w:sz w:val="24"/>
          <w:szCs w:val="24"/>
        </w:rPr>
        <w:t xml:space="preserve"> TOTALDL and IR. </w:t>
      </w:r>
    </w:p>
    <w:p w:rsidR="00953E5C" w:rsidRPr="00EB71A8" w:rsidRDefault="00953E5C" w:rsidP="00953E5C">
      <w:pPr>
        <w:spacing w:line="360" w:lineRule="auto"/>
        <w:rPr>
          <w:sz w:val="24"/>
          <w:szCs w:val="24"/>
        </w:rPr>
      </w:pPr>
      <w:r w:rsidRPr="00EB71A8">
        <w:rPr>
          <w:sz w:val="24"/>
          <w:szCs w:val="24"/>
        </w:rPr>
        <w:t>Assessment of the severity of a sport</w:t>
      </w:r>
      <w:r>
        <w:rPr>
          <w:sz w:val="24"/>
          <w:szCs w:val="24"/>
        </w:rPr>
        <w:t>-</w:t>
      </w:r>
      <w:r w:rsidRPr="00EB71A8">
        <w:rPr>
          <w:sz w:val="24"/>
          <w:szCs w:val="24"/>
        </w:rPr>
        <w:t>related injury usually reflects either the</w:t>
      </w:r>
      <w:r w:rsidRPr="00EB71A8">
        <w:rPr>
          <w:sz w:val="24"/>
          <w:szCs w:val="24"/>
          <w:vertAlign w:val="superscript"/>
        </w:rPr>
        <w:t xml:space="preserve"> </w:t>
      </w:r>
      <w:r w:rsidRPr="00EB71A8">
        <w:rPr>
          <w:sz w:val="24"/>
          <w:szCs w:val="24"/>
        </w:rPr>
        <w:t>duration of the symptoms or, as in this study,</w:t>
      </w:r>
      <w:r>
        <w:rPr>
          <w:sz w:val="24"/>
          <w:szCs w:val="24"/>
        </w:rPr>
        <w:t xml:space="preserve"> </w:t>
      </w:r>
      <w:r w:rsidRPr="00EB71A8">
        <w:rPr>
          <w:sz w:val="24"/>
          <w:szCs w:val="24"/>
        </w:rPr>
        <w:t>training time</w:t>
      </w:r>
      <w:r w:rsidRPr="00EB71A8">
        <w:rPr>
          <w:sz w:val="24"/>
          <w:szCs w:val="24"/>
          <w:vertAlign w:val="superscript"/>
        </w:rPr>
        <w:t xml:space="preserve"> </w:t>
      </w:r>
      <w:r w:rsidRPr="00EB71A8">
        <w:rPr>
          <w:sz w:val="24"/>
          <w:szCs w:val="24"/>
        </w:rPr>
        <w:t>lost due to injury</w:t>
      </w:r>
      <w:r>
        <w:rPr>
          <w:sz w:val="24"/>
          <w:szCs w:val="24"/>
        </w:rPr>
        <w:t xml:space="preserve"> following the methodology of </w:t>
      </w:r>
      <w:proofErr w:type="spellStart"/>
      <w:r>
        <w:rPr>
          <w:sz w:val="24"/>
          <w:szCs w:val="24"/>
        </w:rPr>
        <w:t>Lun</w:t>
      </w:r>
      <w:proofErr w:type="spellEnd"/>
      <w:r>
        <w:rPr>
          <w:sz w:val="24"/>
          <w:szCs w:val="24"/>
        </w:rPr>
        <w:t xml:space="preserve"> et al</w:t>
      </w:r>
      <w:sdt>
        <w:sdtPr>
          <w:rPr>
            <w:sz w:val="24"/>
            <w:szCs w:val="24"/>
          </w:rPr>
          <w:id w:val="-1944169000"/>
          <w:citation/>
        </w:sdtPr>
        <w:sdtContent>
          <w:r w:rsidR="007A16A5">
            <w:rPr>
              <w:sz w:val="24"/>
              <w:szCs w:val="24"/>
            </w:rPr>
            <w:fldChar w:fldCharType="begin"/>
          </w:r>
          <w:r>
            <w:rPr>
              <w:sz w:val="24"/>
              <w:szCs w:val="24"/>
            </w:rPr>
            <w:instrText xml:space="preserve"> CITATION Lun04 \n  \l 2057  </w:instrText>
          </w:r>
          <w:r w:rsidR="007A16A5">
            <w:rPr>
              <w:sz w:val="24"/>
              <w:szCs w:val="24"/>
            </w:rPr>
            <w:fldChar w:fldCharType="separate"/>
          </w:r>
          <w:r>
            <w:rPr>
              <w:noProof/>
              <w:sz w:val="24"/>
              <w:szCs w:val="24"/>
            </w:rPr>
            <w:t xml:space="preserve"> </w:t>
          </w:r>
          <w:r w:rsidRPr="005E3BE3">
            <w:rPr>
              <w:noProof/>
              <w:sz w:val="24"/>
              <w:szCs w:val="24"/>
            </w:rPr>
            <w:t>(2004)</w:t>
          </w:r>
          <w:r w:rsidR="007A16A5">
            <w:rPr>
              <w:sz w:val="24"/>
              <w:szCs w:val="24"/>
            </w:rPr>
            <w:fldChar w:fldCharType="end"/>
          </w:r>
        </w:sdtContent>
      </w:sdt>
      <w:r w:rsidRPr="00EB71A8">
        <w:rPr>
          <w:sz w:val="24"/>
          <w:szCs w:val="24"/>
        </w:rPr>
        <w:t xml:space="preserve">. </w:t>
      </w:r>
    </w:p>
    <w:p w:rsidR="00953E5C" w:rsidRPr="00EB71A8" w:rsidRDefault="00953E5C" w:rsidP="00953E5C">
      <w:pPr>
        <w:spacing w:line="360" w:lineRule="auto"/>
        <w:rPr>
          <w:sz w:val="24"/>
          <w:szCs w:val="24"/>
        </w:rPr>
      </w:pPr>
      <w:r w:rsidRPr="00EB71A8">
        <w:rPr>
          <w:sz w:val="24"/>
          <w:szCs w:val="24"/>
        </w:rPr>
        <w:t xml:space="preserve">Male and female data sets were analysed separately to avoid confounding of data due to sexual biomechanical variance, this follows the recommendation of </w:t>
      </w:r>
      <w:proofErr w:type="spellStart"/>
      <w:r w:rsidRPr="00EB71A8">
        <w:rPr>
          <w:sz w:val="24"/>
          <w:szCs w:val="24"/>
        </w:rPr>
        <w:t>Lun</w:t>
      </w:r>
      <w:proofErr w:type="spellEnd"/>
      <w:r w:rsidRPr="00EB71A8">
        <w:rPr>
          <w:sz w:val="24"/>
          <w:szCs w:val="24"/>
        </w:rPr>
        <w:t xml:space="preserve"> et </w:t>
      </w:r>
      <w:proofErr w:type="gramStart"/>
      <w:r w:rsidRPr="00EB71A8">
        <w:rPr>
          <w:sz w:val="24"/>
          <w:szCs w:val="24"/>
        </w:rPr>
        <w:t>al</w:t>
      </w:r>
      <w:proofErr w:type="gramEnd"/>
      <w:sdt>
        <w:sdtPr>
          <w:rPr>
            <w:sz w:val="24"/>
            <w:szCs w:val="24"/>
          </w:rPr>
          <w:id w:val="2428533"/>
          <w:citation/>
        </w:sdtPr>
        <w:sdtContent>
          <w:r w:rsidR="007A16A5" w:rsidRPr="00EB71A8">
            <w:rPr>
              <w:sz w:val="24"/>
              <w:szCs w:val="24"/>
            </w:rPr>
            <w:fldChar w:fldCharType="begin"/>
          </w:r>
          <w:r w:rsidRPr="00EB71A8">
            <w:rPr>
              <w:sz w:val="24"/>
              <w:szCs w:val="24"/>
            </w:rPr>
            <w:instrText xml:space="preserve"> CITATION Lun04 \n  \l 2057  </w:instrText>
          </w:r>
          <w:r w:rsidR="007A16A5" w:rsidRPr="00EB71A8">
            <w:rPr>
              <w:sz w:val="24"/>
              <w:szCs w:val="24"/>
            </w:rPr>
            <w:fldChar w:fldCharType="separate"/>
          </w:r>
          <w:r w:rsidRPr="003348AF">
            <w:rPr>
              <w:noProof/>
              <w:sz w:val="24"/>
              <w:szCs w:val="24"/>
            </w:rPr>
            <w:t>(2004)</w:t>
          </w:r>
          <w:r w:rsidR="007A16A5" w:rsidRPr="00EB71A8">
            <w:rPr>
              <w:sz w:val="24"/>
              <w:szCs w:val="24"/>
            </w:rPr>
            <w:fldChar w:fldCharType="end"/>
          </w:r>
        </w:sdtContent>
      </w:sdt>
      <w:r w:rsidRPr="00EB71A8">
        <w:rPr>
          <w:sz w:val="24"/>
          <w:szCs w:val="24"/>
        </w:rPr>
        <w:t xml:space="preserve"> who felt their study could have been confounded by the pooling of male and female data.</w:t>
      </w:r>
    </w:p>
    <w:p w:rsidR="00953E5C" w:rsidRDefault="00953E5C" w:rsidP="00953E5C">
      <w:pPr>
        <w:spacing w:line="360" w:lineRule="auto"/>
        <w:rPr>
          <w:sz w:val="24"/>
          <w:szCs w:val="24"/>
        </w:rPr>
      </w:pPr>
      <w:r>
        <w:rPr>
          <w:sz w:val="24"/>
          <w:szCs w:val="24"/>
        </w:rPr>
        <w:t xml:space="preserve">When considering the data, </w:t>
      </w:r>
      <w:r w:rsidRPr="00EB71A8">
        <w:rPr>
          <w:sz w:val="24"/>
          <w:szCs w:val="24"/>
        </w:rPr>
        <w:t xml:space="preserve">it was felt that the small number (n=4)of traumatic onset injuries in the data set were acting as confounding factors, for example one female </w:t>
      </w:r>
      <w:r>
        <w:rPr>
          <w:sz w:val="24"/>
          <w:szCs w:val="24"/>
        </w:rPr>
        <w:t>subject</w:t>
      </w:r>
      <w:r w:rsidRPr="00EB71A8">
        <w:rPr>
          <w:sz w:val="24"/>
          <w:szCs w:val="24"/>
        </w:rPr>
        <w:t xml:space="preserve"> had fallen over and broken an arm in a non-running situation resulting in an abnormally high TOTALDL score. </w:t>
      </w:r>
      <w:r>
        <w:rPr>
          <w:sz w:val="24"/>
          <w:szCs w:val="24"/>
        </w:rPr>
        <w:t>Therefore, a</w:t>
      </w:r>
      <w:r w:rsidRPr="00EB71A8">
        <w:rPr>
          <w:sz w:val="24"/>
          <w:szCs w:val="24"/>
        </w:rPr>
        <w:t xml:space="preserve">ll cases with a </w:t>
      </w:r>
      <w:r>
        <w:rPr>
          <w:sz w:val="24"/>
          <w:szCs w:val="24"/>
        </w:rPr>
        <w:t>traumatic injury (</w:t>
      </w:r>
      <w:r w:rsidRPr="00EB71A8">
        <w:rPr>
          <w:sz w:val="24"/>
          <w:szCs w:val="24"/>
        </w:rPr>
        <w:t>TOTALT</w:t>
      </w:r>
      <w:r>
        <w:rPr>
          <w:sz w:val="24"/>
          <w:szCs w:val="24"/>
        </w:rPr>
        <w:t>)</w:t>
      </w:r>
      <w:r w:rsidRPr="00EB71A8">
        <w:rPr>
          <w:sz w:val="24"/>
          <w:szCs w:val="24"/>
        </w:rPr>
        <w:t xml:space="preserve"> score of =&gt;1 were excluded from the dataset. </w:t>
      </w:r>
    </w:p>
    <w:p w:rsidR="00953E5C" w:rsidRPr="00EB71A8" w:rsidRDefault="00953E5C" w:rsidP="00953E5C">
      <w:pPr>
        <w:spacing w:line="360" w:lineRule="auto"/>
        <w:rPr>
          <w:sz w:val="24"/>
          <w:szCs w:val="24"/>
        </w:rPr>
      </w:pPr>
      <w:r w:rsidRPr="00EB71A8">
        <w:rPr>
          <w:sz w:val="24"/>
          <w:szCs w:val="24"/>
        </w:rPr>
        <w:t xml:space="preserve">Statistical tests were carried out on the complete data set, </w:t>
      </w:r>
      <w:r>
        <w:rPr>
          <w:sz w:val="24"/>
          <w:szCs w:val="24"/>
        </w:rPr>
        <w:t>including separate calculations</w:t>
      </w:r>
      <w:r w:rsidRPr="00EB71A8">
        <w:rPr>
          <w:sz w:val="24"/>
          <w:szCs w:val="24"/>
        </w:rPr>
        <w:t xml:space="preserve"> for all of the positive and </w:t>
      </w:r>
      <w:r>
        <w:rPr>
          <w:sz w:val="24"/>
          <w:szCs w:val="24"/>
        </w:rPr>
        <w:t xml:space="preserve">negative FPI </w:t>
      </w:r>
      <w:r w:rsidRPr="00EB71A8">
        <w:rPr>
          <w:sz w:val="24"/>
          <w:szCs w:val="24"/>
        </w:rPr>
        <w:t>scores</w:t>
      </w:r>
      <w:r>
        <w:rPr>
          <w:sz w:val="24"/>
          <w:szCs w:val="24"/>
        </w:rPr>
        <w:t>.  This analysis included analysis of</w:t>
      </w:r>
      <w:r w:rsidRPr="00EB71A8">
        <w:rPr>
          <w:sz w:val="24"/>
          <w:szCs w:val="24"/>
        </w:rPr>
        <w:t xml:space="preserve"> Pearson’s correlation between FPI and IR, FPI and TOTALDL. </w:t>
      </w:r>
    </w:p>
    <w:p w:rsidR="00953E5C" w:rsidRDefault="00953E5C" w:rsidP="00953E5C">
      <w:pPr>
        <w:pStyle w:val="Heading1"/>
        <w:spacing w:line="360" w:lineRule="auto"/>
      </w:pPr>
      <w:bookmarkStart w:id="15" w:name="_Toc216677174"/>
      <w:r>
        <w:t>Results</w:t>
      </w:r>
      <w:bookmarkEnd w:id="15"/>
    </w:p>
    <w:p w:rsidR="00953E5C" w:rsidRPr="00EB71A8" w:rsidRDefault="00953E5C" w:rsidP="00953E5C">
      <w:pPr>
        <w:spacing w:line="360" w:lineRule="auto"/>
        <w:rPr>
          <w:sz w:val="24"/>
          <w:szCs w:val="24"/>
        </w:rPr>
      </w:pPr>
      <w:r w:rsidRPr="00EB71A8">
        <w:rPr>
          <w:sz w:val="24"/>
          <w:szCs w:val="24"/>
        </w:rPr>
        <w:t xml:space="preserve">Out of 115 prospective candidates for this study, 10 were excluded because of excessive </w:t>
      </w:r>
      <w:r>
        <w:rPr>
          <w:sz w:val="24"/>
          <w:szCs w:val="24"/>
        </w:rPr>
        <w:t xml:space="preserve">weekly </w:t>
      </w:r>
      <w:r w:rsidRPr="00EB71A8">
        <w:rPr>
          <w:sz w:val="24"/>
          <w:szCs w:val="24"/>
        </w:rPr>
        <w:t xml:space="preserve">mileage </w:t>
      </w:r>
      <w:r>
        <w:rPr>
          <w:sz w:val="24"/>
          <w:szCs w:val="24"/>
        </w:rPr>
        <w:t>and a further</w:t>
      </w:r>
      <w:r w:rsidRPr="00EB71A8">
        <w:rPr>
          <w:sz w:val="24"/>
          <w:szCs w:val="24"/>
        </w:rPr>
        <w:t xml:space="preserve"> 5 were excluded because of excessive participation in other sports. Of the 100 candidates</w:t>
      </w:r>
      <w:r>
        <w:rPr>
          <w:sz w:val="24"/>
          <w:szCs w:val="24"/>
        </w:rPr>
        <w:t xml:space="preserve"> measured, </w:t>
      </w:r>
      <w:r w:rsidRPr="00EB71A8">
        <w:rPr>
          <w:sz w:val="24"/>
          <w:szCs w:val="24"/>
        </w:rPr>
        <w:t xml:space="preserve">4 were excluded </w:t>
      </w:r>
      <w:r>
        <w:rPr>
          <w:sz w:val="24"/>
          <w:szCs w:val="24"/>
        </w:rPr>
        <w:t>due to</w:t>
      </w:r>
      <w:r w:rsidRPr="00EB71A8">
        <w:rPr>
          <w:sz w:val="24"/>
          <w:szCs w:val="24"/>
        </w:rPr>
        <w:t xml:space="preserve"> traumatic injuries that might have confounded the data.</w:t>
      </w:r>
    </w:p>
    <w:p w:rsidR="00953E5C" w:rsidRDefault="00953E5C" w:rsidP="00953E5C">
      <w:pPr>
        <w:pStyle w:val="Heading3"/>
        <w:spacing w:line="360" w:lineRule="auto"/>
      </w:pPr>
      <w:bookmarkStart w:id="16" w:name="_Toc216677175"/>
      <w:r w:rsidRPr="008E4AD8">
        <w:t>Injury incidence and characteristics</w:t>
      </w:r>
      <w:bookmarkEnd w:id="16"/>
    </w:p>
    <w:p w:rsidR="00953E5C" w:rsidRPr="00EB71A8" w:rsidRDefault="00953E5C" w:rsidP="00953E5C">
      <w:pPr>
        <w:spacing w:line="360" w:lineRule="auto"/>
        <w:rPr>
          <w:sz w:val="24"/>
          <w:szCs w:val="24"/>
        </w:rPr>
      </w:pPr>
      <w:r w:rsidRPr="00EB71A8">
        <w:rPr>
          <w:sz w:val="24"/>
          <w:szCs w:val="24"/>
        </w:rPr>
        <w:t>Of the total (n=96)</w:t>
      </w:r>
      <w:r>
        <w:rPr>
          <w:sz w:val="24"/>
          <w:szCs w:val="24"/>
        </w:rPr>
        <w:t>,</w:t>
      </w:r>
      <w:r w:rsidRPr="00EB71A8">
        <w:rPr>
          <w:sz w:val="24"/>
          <w:szCs w:val="24"/>
        </w:rPr>
        <w:t xml:space="preserve"> 65 (67.8%) runners sustained some form of injury. 30 </w:t>
      </w:r>
      <w:r>
        <w:rPr>
          <w:sz w:val="24"/>
          <w:szCs w:val="24"/>
        </w:rPr>
        <w:t xml:space="preserve">of these </w:t>
      </w:r>
      <w:r w:rsidRPr="00EB71A8">
        <w:rPr>
          <w:sz w:val="24"/>
          <w:szCs w:val="24"/>
        </w:rPr>
        <w:t xml:space="preserve">were female and 35 male. </w:t>
      </w:r>
    </w:p>
    <w:p w:rsidR="00953E5C" w:rsidRPr="00EB71A8" w:rsidRDefault="00953E5C" w:rsidP="00953E5C">
      <w:pPr>
        <w:spacing w:line="360" w:lineRule="auto"/>
        <w:rPr>
          <w:sz w:val="24"/>
          <w:szCs w:val="24"/>
        </w:rPr>
      </w:pPr>
      <w:r w:rsidRPr="00EB71A8">
        <w:rPr>
          <w:sz w:val="24"/>
          <w:szCs w:val="24"/>
        </w:rPr>
        <w:t xml:space="preserve">Injury incidence was expressed as a value of IR, following the methodology of </w:t>
      </w:r>
      <w:proofErr w:type="spellStart"/>
      <w:r w:rsidRPr="00EB71A8">
        <w:rPr>
          <w:sz w:val="24"/>
          <w:szCs w:val="24"/>
        </w:rPr>
        <w:t>Rauh</w:t>
      </w:r>
      <w:proofErr w:type="spellEnd"/>
      <w:r w:rsidRPr="00EB71A8">
        <w:rPr>
          <w:sz w:val="24"/>
          <w:szCs w:val="24"/>
        </w:rPr>
        <w:t xml:space="preserve"> et al (2004) as described previously. The average IR for male participants (8.8) was slightly lower than female participants (11). </w:t>
      </w:r>
    </w:p>
    <w:p w:rsidR="00953E5C" w:rsidRDefault="00953E5C" w:rsidP="00953E5C">
      <w:pPr>
        <w:pStyle w:val="Heading3"/>
      </w:pPr>
      <w:bookmarkStart w:id="17" w:name="_Toc216677176"/>
      <w:r>
        <w:lastRenderedPageBreak/>
        <w:t>Site of injuries</w:t>
      </w:r>
      <w:bookmarkEnd w:id="17"/>
    </w:p>
    <w:p w:rsidR="00953E5C" w:rsidRPr="00EB71A8" w:rsidRDefault="00953E5C" w:rsidP="00953E5C">
      <w:pPr>
        <w:spacing w:line="360" w:lineRule="auto"/>
        <w:rPr>
          <w:sz w:val="24"/>
          <w:szCs w:val="24"/>
        </w:rPr>
      </w:pPr>
      <w:r>
        <w:rPr>
          <w:sz w:val="24"/>
          <w:szCs w:val="24"/>
        </w:rPr>
        <w:t>In male runners t</w:t>
      </w:r>
      <w:r w:rsidRPr="00EB71A8">
        <w:rPr>
          <w:sz w:val="24"/>
          <w:szCs w:val="24"/>
        </w:rPr>
        <w:t xml:space="preserve">he most commonly </w:t>
      </w:r>
      <w:r>
        <w:rPr>
          <w:sz w:val="24"/>
          <w:szCs w:val="24"/>
        </w:rPr>
        <w:t>injury</w:t>
      </w:r>
      <w:r w:rsidRPr="00EB71A8">
        <w:rPr>
          <w:sz w:val="24"/>
          <w:szCs w:val="24"/>
        </w:rPr>
        <w:t xml:space="preserve"> was </w:t>
      </w:r>
      <w:r>
        <w:rPr>
          <w:sz w:val="24"/>
          <w:szCs w:val="24"/>
        </w:rPr>
        <w:t xml:space="preserve">to </w:t>
      </w:r>
      <w:r w:rsidRPr="00EB71A8">
        <w:rPr>
          <w:sz w:val="24"/>
          <w:szCs w:val="24"/>
        </w:rPr>
        <w:t>the shin (</w:t>
      </w:r>
      <w:r>
        <w:rPr>
          <w:sz w:val="24"/>
          <w:szCs w:val="24"/>
        </w:rPr>
        <w:t>28</w:t>
      </w:r>
      <w:r w:rsidRPr="00EB71A8">
        <w:rPr>
          <w:sz w:val="24"/>
          <w:szCs w:val="24"/>
        </w:rPr>
        <w:t>%) followed by the knee (</w:t>
      </w:r>
      <w:r>
        <w:rPr>
          <w:sz w:val="24"/>
          <w:szCs w:val="24"/>
        </w:rPr>
        <w:t>10</w:t>
      </w:r>
      <w:r w:rsidRPr="00EB71A8">
        <w:rPr>
          <w:sz w:val="24"/>
          <w:szCs w:val="24"/>
        </w:rPr>
        <w:t>%) the lumbar spine and pelvis</w:t>
      </w:r>
      <w:r>
        <w:rPr>
          <w:sz w:val="24"/>
          <w:szCs w:val="24"/>
        </w:rPr>
        <w:t xml:space="preserve"> </w:t>
      </w:r>
      <w:r w:rsidRPr="00EB71A8">
        <w:rPr>
          <w:sz w:val="24"/>
          <w:szCs w:val="24"/>
        </w:rPr>
        <w:t>(1</w:t>
      </w:r>
      <w:r>
        <w:rPr>
          <w:sz w:val="24"/>
          <w:szCs w:val="24"/>
        </w:rPr>
        <w:t>0%</w:t>
      </w:r>
      <w:r w:rsidRPr="00EB71A8">
        <w:rPr>
          <w:sz w:val="24"/>
          <w:szCs w:val="24"/>
        </w:rPr>
        <w:t>).</w:t>
      </w:r>
      <w:r>
        <w:rPr>
          <w:sz w:val="24"/>
          <w:szCs w:val="24"/>
        </w:rPr>
        <w:t xml:space="preserve"> This is similar to female runners whose most commonly injured sites were </w:t>
      </w:r>
      <w:r w:rsidRPr="00EB71A8">
        <w:rPr>
          <w:sz w:val="24"/>
          <w:szCs w:val="24"/>
        </w:rPr>
        <w:t>the shin (</w:t>
      </w:r>
      <w:r>
        <w:rPr>
          <w:sz w:val="24"/>
          <w:szCs w:val="24"/>
        </w:rPr>
        <w:t>30</w:t>
      </w:r>
      <w:r w:rsidRPr="00EB71A8">
        <w:rPr>
          <w:sz w:val="24"/>
          <w:szCs w:val="24"/>
        </w:rPr>
        <w:t>%) followed by the knee (</w:t>
      </w:r>
      <w:r>
        <w:rPr>
          <w:sz w:val="24"/>
          <w:szCs w:val="24"/>
        </w:rPr>
        <w:t>10</w:t>
      </w:r>
      <w:r w:rsidRPr="00EB71A8">
        <w:rPr>
          <w:sz w:val="24"/>
          <w:szCs w:val="24"/>
        </w:rPr>
        <w:t>%) the lumbar spine and pelvis</w:t>
      </w:r>
      <w:r>
        <w:rPr>
          <w:sz w:val="24"/>
          <w:szCs w:val="24"/>
        </w:rPr>
        <w:t xml:space="preserve"> </w:t>
      </w:r>
      <w:r w:rsidRPr="00EB71A8">
        <w:rPr>
          <w:sz w:val="24"/>
          <w:szCs w:val="24"/>
        </w:rPr>
        <w:t>(</w:t>
      </w:r>
      <w:r>
        <w:rPr>
          <w:sz w:val="24"/>
          <w:szCs w:val="24"/>
        </w:rPr>
        <w:t>6.5%</w:t>
      </w:r>
      <w:r w:rsidRPr="00EB71A8">
        <w:rPr>
          <w:sz w:val="24"/>
          <w:szCs w:val="24"/>
        </w:rPr>
        <w:t>).</w:t>
      </w:r>
    </w:p>
    <w:p w:rsidR="00953E5C" w:rsidRDefault="00953E5C" w:rsidP="00953E5C">
      <w:pPr>
        <w:pStyle w:val="Heading3"/>
        <w:spacing w:line="360" w:lineRule="auto"/>
      </w:pPr>
      <w:bookmarkStart w:id="18" w:name="_Toc216677177"/>
      <w:r>
        <w:t>Average FPI score by number of overuse injuries</w:t>
      </w:r>
      <w:bookmarkEnd w:id="18"/>
    </w:p>
    <w:p w:rsidR="00953E5C" w:rsidRDefault="00953E5C" w:rsidP="00953E5C">
      <w:pPr>
        <w:spacing w:line="360" w:lineRule="auto"/>
        <w:rPr>
          <w:sz w:val="24"/>
          <w:szCs w:val="24"/>
        </w:rPr>
      </w:pPr>
      <w:r w:rsidRPr="00EB71A8">
        <w:rPr>
          <w:sz w:val="24"/>
          <w:szCs w:val="24"/>
        </w:rPr>
        <w:t xml:space="preserve">The dataset was broken down into male and female participants and then further separated into </w:t>
      </w:r>
      <w:r>
        <w:rPr>
          <w:sz w:val="24"/>
          <w:szCs w:val="24"/>
        </w:rPr>
        <w:t>those</w:t>
      </w:r>
      <w:r w:rsidRPr="00EB71A8">
        <w:rPr>
          <w:sz w:val="24"/>
          <w:szCs w:val="24"/>
        </w:rPr>
        <w:t xml:space="preserve"> with positive FPI scores (</w:t>
      </w:r>
      <w:r>
        <w:rPr>
          <w:sz w:val="24"/>
          <w:szCs w:val="24"/>
        </w:rPr>
        <w:t>n</w:t>
      </w:r>
      <w:r w:rsidRPr="00EB71A8">
        <w:rPr>
          <w:sz w:val="24"/>
          <w:szCs w:val="24"/>
        </w:rPr>
        <w:t xml:space="preserve">eutral to </w:t>
      </w:r>
      <w:proofErr w:type="spellStart"/>
      <w:proofErr w:type="gramStart"/>
      <w:r w:rsidRPr="00EB71A8">
        <w:rPr>
          <w:sz w:val="24"/>
          <w:szCs w:val="24"/>
        </w:rPr>
        <w:t>pronated</w:t>
      </w:r>
      <w:proofErr w:type="spellEnd"/>
      <w:proofErr w:type="gramEnd"/>
      <w:r w:rsidRPr="00EB71A8">
        <w:rPr>
          <w:sz w:val="24"/>
          <w:szCs w:val="24"/>
        </w:rPr>
        <w:t xml:space="preserve"> feet) and run</w:t>
      </w:r>
      <w:r>
        <w:rPr>
          <w:sz w:val="24"/>
          <w:szCs w:val="24"/>
        </w:rPr>
        <w:t>ners with negative FPI scores (n</w:t>
      </w:r>
      <w:r w:rsidRPr="00EB71A8">
        <w:rPr>
          <w:sz w:val="24"/>
          <w:szCs w:val="24"/>
        </w:rPr>
        <w:t xml:space="preserve">eutral to </w:t>
      </w:r>
      <w:proofErr w:type="spellStart"/>
      <w:r w:rsidRPr="00EB71A8">
        <w:rPr>
          <w:sz w:val="24"/>
          <w:szCs w:val="24"/>
        </w:rPr>
        <w:t>supinated</w:t>
      </w:r>
      <w:proofErr w:type="spellEnd"/>
      <w:r w:rsidRPr="00EB71A8">
        <w:rPr>
          <w:sz w:val="24"/>
          <w:szCs w:val="24"/>
        </w:rPr>
        <w:t xml:space="preserve"> feet). These datasets were then split by the number of overuse injuries and the mean FPI scores were calculated for each category. This is shown in table 1. </w:t>
      </w:r>
    </w:p>
    <w:p w:rsidR="00953E5C" w:rsidRDefault="00953E5C" w:rsidP="00953E5C">
      <w:pPr>
        <w:rPr>
          <w:sz w:val="24"/>
          <w:szCs w:val="24"/>
        </w:rPr>
      </w:pPr>
      <w:r>
        <w:rPr>
          <w:sz w:val="24"/>
          <w:szCs w:val="24"/>
        </w:rPr>
        <w:br w:type="page"/>
      </w:r>
    </w:p>
    <w:p w:rsidR="00953E5C" w:rsidRDefault="007A16A5" w:rsidP="00953E5C">
      <w:pPr>
        <w:pStyle w:val="Caption"/>
      </w:pPr>
      <w:r>
        <w:rPr>
          <w:noProof/>
          <w:lang w:eastAsia="en-GB"/>
        </w:rPr>
        <w:lastRenderedPageBreak/>
        <w:pict>
          <v:shapetype id="_x0000_t202" coordsize="21600,21600" o:spt="202" path="m,l,21600r21600,l21600,xe">
            <v:stroke joinstyle="miter"/>
            <v:path gradientshapeok="t" o:connecttype="rect"/>
          </v:shapetype>
          <v:shape id="_x0000_s1026" type="#_x0000_t202" style="position:absolute;margin-left:.75pt;margin-top:1.5pt;width:442.5pt;height:172.5pt;z-index:251660288" strokecolor="white [3212]">
            <v:textbox style="mso-next-textbox:#_x0000_s1026">
              <w:txbxContent>
                <w:tbl>
                  <w:tblPr>
                    <w:tblStyle w:val="TableGrid"/>
                    <w:tblW w:w="4503"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tblPr>
                  <w:tblGrid>
                    <w:gridCol w:w="3210"/>
                    <w:gridCol w:w="1151"/>
                    <w:gridCol w:w="1113"/>
                    <w:gridCol w:w="1296"/>
                    <w:gridCol w:w="1135"/>
                  </w:tblGrid>
                  <w:tr w:rsidR="00953E5C" w:rsidTr="008C559B">
                    <w:trPr>
                      <w:trHeight w:val="455"/>
                    </w:trPr>
                    <w:tc>
                      <w:tcPr>
                        <w:tcW w:w="2030" w:type="pct"/>
                        <w:tcBorders>
                          <w:top w:val="single" w:sz="12" w:space="0" w:color="000000" w:themeColor="text1"/>
                          <w:bottom w:val="single" w:sz="12" w:space="0" w:color="000000" w:themeColor="text1"/>
                          <w:right w:val="single" w:sz="12" w:space="0" w:color="000000" w:themeColor="text1"/>
                        </w:tcBorders>
                        <w:vAlign w:val="bottom"/>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Overuse injuries</w:t>
                        </w:r>
                      </w:p>
                    </w:tc>
                    <w:tc>
                      <w:tcPr>
                        <w:tcW w:w="728" w:type="pct"/>
                        <w:tcBorders>
                          <w:top w:val="single" w:sz="12" w:space="0" w:color="000000" w:themeColor="text1"/>
                          <w:left w:val="single" w:sz="12" w:space="0" w:color="000000" w:themeColor="text1"/>
                          <w:bottom w:val="single" w:sz="12"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0</w:t>
                        </w:r>
                      </w:p>
                    </w:tc>
                    <w:tc>
                      <w:tcPr>
                        <w:tcW w:w="704" w:type="pct"/>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1</w:t>
                        </w:r>
                      </w:p>
                    </w:tc>
                    <w:tc>
                      <w:tcPr>
                        <w:tcW w:w="820" w:type="pct"/>
                        <w:tcBorders>
                          <w:top w:val="single" w:sz="12" w:space="0" w:color="000000" w:themeColor="text1"/>
                          <w:left w:val="single" w:sz="6" w:space="0" w:color="000000" w:themeColor="text1"/>
                          <w:bottom w:val="single" w:sz="12"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2</w:t>
                        </w:r>
                      </w:p>
                    </w:tc>
                    <w:tc>
                      <w:tcPr>
                        <w:tcW w:w="718" w:type="pct"/>
                        <w:tcBorders>
                          <w:top w:val="single" w:sz="12" w:space="0" w:color="000000" w:themeColor="text1"/>
                          <w:left w:val="single" w:sz="6" w:space="0" w:color="000000" w:themeColor="text1"/>
                          <w:bottom w:val="single" w:sz="12"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3</w:t>
                        </w:r>
                      </w:p>
                    </w:tc>
                  </w:tr>
                  <w:tr w:rsidR="00953E5C" w:rsidTr="008C559B">
                    <w:trPr>
                      <w:trHeight w:val="405"/>
                    </w:trPr>
                    <w:tc>
                      <w:tcPr>
                        <w:tcW w:w="5000" w:type="pct"/>
                        <w:gridSpan w:val="5"/>
                        <w:tcBorders>
                          <w:top w:val="single" w:sz="12" w:space="0" w:color="000000" w:themeColor="text1"/>
                          <w:bottom w:val="single" w:sz="6" w:space="0" w:color="000000" w:themeColor="text1"/>
                        </w:tcBorders>
                        <w:vAlign w:val="center"/>
                      </w:tcPr>
                      <w:p w:rsidR="00953E5C" w:rsidRPr="001E73A1" w:rsidRDefault="00953E5C" w:rsidP="008C559B">
                        <w:pPr>
                          <w:spacing w:line="360" w:lineRule="auto"/>
                          <w:rPr>
                            <w:rFonts w:ascii="Arial" w:hAnsi="Arial" w:cs="Arial"/>
                            <w:sz w:val="18"/>
                            <w:szCs w:val="18"/>
                          </w:rPr>
                        </w:pPr>
                        <w:r w:rsidRPr="001E73A1">
                          <w:rPr>
                            <w:rFonts w:ascii="Arial" w:hAnsi="Arial" w:cs="Arial"/>
                            <w:sz w:val="18"/>
                            <w:szCs w:val="18"/>
                          </w:rPr>
                          <w:t>Male</w:t>
                        </w:r>
                      </w:p>
                    </w:tc>
                  </w:tr>
                  <w:tr w:rsidR="00953E5C" w:rsidTr="008C559B">
                    <w:trPr>
                      <w:trHeight w:val="411"/>
                    </w:trPr>
                    <w:tc>
                      <w:tcPr>
                        <w:tcW w:w="2030" w:type="pct"/>
                        <w:tcBorders>
                          <w:top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Positive FPI</w:t>
                        </w:r>
                      </w:p>
                    </w:tc>
                    <w:tc>
                      <w:tcPr>
                        <w:tcW w:w="72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2.43</w:t>
                        </w:r>
                      </w:p>
                    </w:tc>
                    <w:tc>
                      <w:tcPr>
                        <w:tcW w:w="7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4.44</w:t>
                        </w:r>
                      </w:p>
                    </w:tc>
                    <w:tc>
                      <w:tcPr>
                        <w:tcW w:w="8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8.43</w:t>
                        </w:r>
                      </w:p>
                    </w:tc>
                    <w:tc>
                      <w:tcPr>
                        <w:tcW w:w="718" w:type="pct"/>
                        <w:tcBorders>
                          <w:top w:val="single" w:sz="6" w:space="0" w:color="000000" w:themeColor="text1"/>
                          <w:left w:val="single" w:sz="6" w:space="0" w:color="000000" w:themeColor="text1"/>
                          <w:bottom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10.5</w:t>
                        </w:r>
                      </w:p>
                    </w:tc>
                  </w:tr>
                  <w:tr w:rsidR="00953E5C" w:rsidTr="008C559B">
                    <w:trPr>
                      <w:trHeight w:val="360"/>
                    </w:trPr>
                    <w:tc>
                      <w:tcPr>
                        <w:tcW w:w="2030" w:type="pct"/>
                        <w:tcBorders>
                          <w:top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Negative FPI</w:t>
                        </w:r>
                      </w:p>
                    </w:tc>
                    <w:tc>
                      <w:tcPr>
                        <w:tcW w:w="72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-0.4</w:t>
                        </w:r>
                      </w:p>
                    </w:tc>
                    <w:tc>
                      <w:tcPr>
                        <w:tcW w:w="7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n/a</w:t>
                        </w:r>
                      </w:p>
                    </w:tc>
                    <w:tc>
                      <w:tcPr>
                        <w:tcW w:w="8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-6</w:t>
                        </w:r>
                      </w:p>
                    </w:tc>
                    <w:tc>
                      <w:tcPr>
                        <w:tcW w:w="718" w:type="pct"/>
                        <w:tcBorders>
                          <w:top w:val="single" w:sz="6" w:space="0" w:color="000000" w:themeColor="text1"/>
                          <w:left w:val="single" w:sz="6" w:space="0" w:color="000000" w:themeColor="text1"/>
                          <w:bottom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-7</w:t>
                        </w:r>
                      </w:p>
                    </w:tc>
                  </w:tr>
                  <w:tr w:rsidR="00953E5C" w:rsidTr="008C559B">
                    <w:trPr>
                      <w:trHeight w:val="478"/>
                    </w:trPr>
                    <w:tc>
                      <w:tcPr>
                        <w:tcW w:w="5000" w:type="pct"/>
                        <w:gridSpan w:val="5"/>
                        <w:tcBorders>
                          <w:top w:val="single" w:sz="6" w:space="0" w:color="000000" w:themeColor="text1"/>
                          <w:bottom w:val="single" w:sz="6" w:space="0" w:color="000000" w:themeColor="text1"/>
                        </w:tcBorders>
                      </w:tcPr>
                      <w:p w:rsidR="00953E5C" w:rsidRPr="001E73A1" w:rsidRDefault="00953E5C" w:rsidP="008C559B">
                        <w:pPr>
                          <w:spacing w:line="360" w:lineRule="auto"/>
                          <w:rPr>
                            <w:rFonts w:ascii="Arial" w:hAnsi="Arial" w:cs="Arial"/>
                            <w:sz w:val="18"/>
                            <w:szCs w:val="18"/>
                          </w:rPr>
                        </w:pPr>
                        <w:r w:rsidRPr="001E73A1">
                          <w:rPr>
                            <w:rFonts w:ascii="Arial" w:hAnsi="Arial" w:cs="Arial"/>
                            <w:sz w:val="18"/>
                            <w:szCs w:val="18"/>
                          </w:rPr>
                          <w:t>Female</w:t>
                        </w:r>
                      </w:p>
                    </w:tc>
                  </w:tr>
                  <w:tr w:rsidR="00953E5C" w:rsidTr="008C559B">
                    <w:trPr>
                      <w:trHeight w:val="399"/>
                    </w:trPr>
                    <w:tc>
                      <w:tcPr>
                        <w:tcW w:w="2030" w:type="pct"/>
                        <w:tcBorders>
                          <w:top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proofErr w:type="spellStart"/>
                        <w:r w:rsidRPr="001E73A1">
                          <w:rPr>
                            <w:rFonts w:ascii="Arial" w:hAnsi="Arial" w:cs="Arial"/>
                            <w:sz w:val="18"/>
                            <w:szCs w:val="18"/>
                          </w:rPr>
                          <w:t>Postive</w:t>
                        </w:r>
                        <w:proofErr w:type="spellEnd"/>
                        <w:r w:rsidRPr="001E73A1">
                          <w:rPr>
                            <w:rFonts w:ascii="Arial" w:hAnsi="Arial" w:cs="Arial"/>
                            <w:sz w:val="18"/>
                            <w:szCs w:val="18"/>
                          </w:rPr>
                          <w:t xml:space="preserve"> FPI</w:t>
                        </w:r>
                      </w:p>
                    </w:tc>
                    <w:tc>
                      <w:tcPr>
                        <w:tcW w:w="72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2</w:t>
                        </w:r>
                      </w:p>
                    </w:tc>
                    <w:tc>
                      <w:tcPr>
                        <w:tcW w:w="7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7.3</w:t>
                        </w:r>
                      </w:p>
                    </w:tc>
                    <w:tc>
                      <w:tcPr>
                        <w:tcW w:w="820"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8.6</w:t>
                        </w:r>
                      </w:p>
                    </w:tc>
                    <w:tc>
                      <w:tcPr>
                        <w:tcW w:w="718" w:type="pct"/>
                        <w:tcBorders>
                          <w:top w:val="single" w:sz="6" w:space="0" w:color="000000" w:themeColor="text1"/>
                          <w:left w:val="single" w:sz="6" w:space="0" w:color="000000" w:themeColor="text1"/>
                          <w:bottom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10.88</w:t>
                        </w:r>
                      </w:p>
                    </w:tc>
                  </w:tr>
                  <w:tr w:rsidR="00953E5C" w:rsidTr="008C559B">
                    <w:trPr>
                      <w:trHeight w:val="406"/>
                    </w:trPr>
                    <w:tc>
                      <w:tcPr>
                        <w:tcW w:w="2030" w:type="pct"/>
                        <w:tcBorders>
                          <w:top w:val="single" w:sz="6" w:space="0" w:color="000000" w:themeColor="text1"/>
                          <w:bottom w:val="single" w:sz="12"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Negative FPI</w:t>
                        </w:r>
                      </w:p>
                    </w:tc>
                    <w:tc>
                      <w:tcPr>
                        <w:tcW w:w="728" w:type="pct"/>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n/a</w:t>
                        </w:r>
                      </w:p>
                    </w:tc>
                    <w:tc>
                      <w:tcPr>
                        <w:tcW w:w="704" w:type="pct"/>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953E5C" w:rsidRPr="00A24B36" w:rsidRDefault="00953E5C" w:rsidP="008C559B">
                        <w:pPr>
                          <w:spacing w:line="360" w:lineRule="auto"/>
                          <w:jc w:val="center"/>
                          <w:rPr>
                            <w:rFonts w:ascii="Arial" w:hAnsi="Arial" w:cs="Arial"/>
                            <w:b/>
                            <w:sz w:val="18"/>
                            <w:szCs w:val="18"/>
                          </w:rPr>
                        </w:pPr>
                        <w:r w:rsidRPr="00A24B36">
                          <w:rPr>
                            <w:rFonts w:ascii="Arial" w:hAnsi="Arial" w:cs="Arial"/>
                            <w:b/>
                            <w:sz w:val="18"/>
                            <w:szCs w:val="18"/>
                          </w:rPr>
                          <w:t>-3</w:t>
                        </w:r>
                      </w:p>
                    </w:tc>
                    <w:tc>
                      <w:tcPr>
                        <w:tcW w:w="820" w:type="pct"/>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953E5C" w:rsidRPr="001E73A1" w:rsidRDefault="00953E5C" w:rsidP="008C559B">
                        <w:pPr>
                          <w:spacing w:line="360" w:lineRule="auto"/>
                          <w:jc w:val="center"/>
                          <w:rPr>
                            <w:rFonts w:ascii="Arial" w:hAnsi="Arial" w:cs="Arial"/>
                            <w:sz w:val="18"/>
                            <w:szCs w:val="18"/>
                          </w:rPr>
                        </w:pPr>
                        <w:r w:rsidRPr="001E73A1">
                          <w:rPr>
                            <w:rFonts w:ascii="Arial" w:hAnsi="Arial" w:cs="Arial"/>
                            <w:sz w:val="18"/>
                            <w:szCs w:val="18"/>
                          </w:rPr>
                          <w:t>-10</w:t>
                        </w:r>
                      </w:p>
                    </w:tc>
                    <w:tc>
                      <w:tcPr>
                        <w:tcW w:w="718" w:type="pct"/>
                        <w:tcBorders>
                          <w:top w:val="single" w:sz="6" w:space="0" w:color="000000" w:themeColor="text1"/>
                          <w:left w:val="single" w:sz="6" w:space="0" w:color="000000" w:themeColor="text1"/>
                          <w:bottom w:val="single" w:sz="12" w:space="0" w:color="000000" w:themeColor="text1"/>
                        </w:tcBorders>
                        <w:vAlign w:val="center"/>
                      </w:tcPr>
                      <w:p w:rsidR="00953E5C" w:rsidRPr="001E73A1" w:rsidRDefault="00953E5C" w:rsidP="008C559B">
                        <w:pPr>
                          <w:keepNext/>
                          <w:spacing w:line="360" w:lineRule="auto"/>
                          <w:jc w:val="center"/>
                          <w:rPr>
                            <w:rFonts w:ascii="Arial" w:hAnsi="Arial" w:cs="Arial"/>
                            <w:sz w:val="18"/>
                            <w:szCs w:val="18"/>
                          </w:rPr>
                        </w:pPr>
                        <w:r w:rsidRPr="001E73A1">
                          <w:rPr>
                            <w:rFonts w:ascii="Arial" w:hAnsi="Arial" w:cs="Arial"/>
                            <w:sz w:val="18"/>
                            <w:szCs w:val="18"/>
                          </w:rPr>
                          <w:t>-9.5</w:t>
                        </w:r>
                      </w:p>
                    </w:tc>
                  </w:tr>
                </w:tbl>
                <w:p w:rsidR="00953E5C" w:rsidRDefault="00953E5C" w:rsidP="00953E5C"/>
              </w:txbxContent>
            </v:textbox>
          </v:shape>
        </w:pict>
      </w:r>
    </w:p>
    <w:p w:rsidR="00953E5C" w:rsidRDefault="00953E5C" w:rsidP="00953E5C">
      <w:pPr>
        <w:pStyle w:val="Caption"/>
      </w:pPr>
    </w:p>
    <w:p w:rsidR="00953E5C" w:rsidRDefault="00953E5C" w:rsidP="00953E5C">
      <w:pPr>
        <w:pStyle w:val="Caption"/>
      </w:pPr>
    </w:p>
    <w:p w:rsidR="00953E5C" w:rsidRDefault="00953E5C" w:rsidP="00953E5C">
      <w:pPr>
        <w:pStyle w:val="Caption"/>
      </w:pPr>
    </w:p>
    <w:p w:rsidR="00953E5C" w:rsidRDefault="00953E5C" w:rsidP="00953E5C"/>
    <w:p w:rsidR="00953E5C" w:rsidRPr="008C559B" w:rsidRDefault="00953E5C" w:rsidP="00953E5C"/>
    <w:p w:rsidR="00953E5C" w:rsidRDefault="00953E5C" w:rsidP="00953E5C">
      <w:pPr>
        <w:pStyle w:val="Caption"/>
      </w:pPr>
    </w:p>
    <w:p w:rsidR="00953E5C" w:rsidRDefault="00953E5C" w:rsidP="00953E5C">
      <w:pPr>
        <w:keepNext/>
        <w:spacing w:line="360" w:lineRule="auto"/>
      </w:pPr>
    </w:p>
    <w:p w:rsidR="00953E5C" w:rsidRPr="001E73A1" w:rsidRDefault="00953E5C" w:rsidP="00953E5C">
      <w:pPr>
        <w:pStyle w:val="Caption"/>
        <w:outlineLvl w:val="2"/>
      </w:pPr>
      <w:bookmarkStart w:id="19" w:name="_Toc216677178"/>
      <w:proofErr w:type="gramStart"/>
      <w:r w:rsidRPr="001E73A1">
        <w:t xml:space="preserve">Table </w:t>
      </w:r>
      <w:fldSimple w:instr=" SEQ Table \* ARABIC ">
        <w:r>
          <w:rPr>
            <w:noProof/>
          </w:rPr>
          <w:t>1</w:t>
        </w:r>
      </w:fldSimple>
      <w:r w:rsidRPr="001E73A1">
        <w:t>.</w:t>
      </w:r>
      <w:proofErr w:type="gramEnd"/>
      <w:r w:rsidRPr="001E73A1">
        <w:t xml:space="preserve"> FPI score by number of overuse injuries</w:t>
      </w:r>
      <w:bookmarkEnd w:id="19"/>
    </w:p>
    <w:p w:rsidR="00953E5C" w:rsidRPr="001E73A1" w:rsidRDefault="00953E5C" w:rsidP="00953E5C">
      <w:pPr>
        <w:pStyle w:val="Heading3"/>
        <w:spacing w:line="360" w:lineRule="auto"/>
      </w:pPr>
      <w:bookmarkStart w:id="20" w:name="_Toc216677179"/>
      <w:r w:rsidRPr="001E73A1">
        <w:t>Pearson</w:t>
      </w:r>
      <w:r>
        <w:t>’</w:t>
      </w:r>
      <w:r w:rsidRPr="001E73A1">
        <w:t>s Correlation</w:t>
      </w:r>
      <w:bookmarkEnd w:id="20"/>
    </w:p>
    <w:p w:rsidR="00953E5C" w:rsidRDefault="00953E5C" w:rsidP="00953E5C">
      <w:pPr>
        <w:autoSpaceDE w:val="0"/>
        <w:autoSpaceDN w:val="0"/>
        <w:adjustRightInd w:val="0"/>
        <w:spacing w:after="0" w:line="360" w:lineRule="auto"/>
        <w:rPr>
          <w:rFonts w:cs="Times New Roman"/>
          <w:sz w:val="24"/>
          <w:szCs w:val="24"/>
        </w:rPr>
      </w:pPr>
      <w:r w:rsidRPr="001E73A1">
        <w:rPr>
          <w:rFonts w:cs="Times New Roman"/>
          <w:sz w:val="24"/>
          <w:szCs w:val="24"/>
        </w:rPr>
        <w:t xml:space="preserve">The </w:t>
      </w:r>
      <w:r>
        <w:rPr>
          <w:rFonts w:cs="Times New Roman"/>
          <w:sz w:val="24"/>
          <w:szCs w:val="24"/>
        </w:rPr>
        <w:t>P</w:t>
      </w:r>
      <w:r w:rsidRPr="001E73A1">
        <w:rPr>
          <w:rFonts w:cs="Times New Roman"/>
          <w:sz w:val="24"/>
          <w:szCs w:val="24"/>
        </w:rPr>
        <w:t>earson</w:t>
      </w:r>
      <w:r>
        <w:rPr>
          <w:rFonts w:cs="Times New Roman"/>
          <w:sz w:val="24"/>
          <w:szCs w:val="24"/>
        </w:rPr>
        <w:t>’s</w:t>
      </w:r>
      <w:r w:rsidRPr="001E73A1">
        <w:rPr>
          <w:rFonts w:cs="Times New Roman"/>
          <w:sz w:val="24"/>
          <w:szCs w:val="24"/>
        </w:rPr>
        <w:t xml:space="preserve"> correlation between</w:t>
      </w:r>
      <w:r>
        <w:rPr>
          <w:rFonts w:cs="Times New Roman"/>
          <w:sz w:val="24"/>
          <w:szCs w:val="24"/>
        </w:rPr>
        <w:t xml:space="preserve"> positive</w:t>
      </w:r>
      <w:r w:rsidRPr="001E73A1">
        <w:rPr>
          <w:rFonts w:cs="Times New Roman"/>
          <w:sz w:val="24"/>
          <w:szCs w:val="24"/>
        </w:rPr>
        <w:t xml:space="preserve"> FPI, </w:t>
      </w:r>
      <w:r>
        <w:rPr>
          <w:rFonts w:cs="Times New Roman"/>
          <w:sz w:val="24"/>
          <w:szCs w:val="24"/>
        </w:rPr>
        <w:t>TOTALDL</w:t>
      </w:r>
      <w:r w:rsidRPr="001E73A1">
        <w:rPr>
          <w:rFonts w:cs="Times New Roman"/>
          <w:sz w:val="24"/>
          <w:szCs w:val="24"/>
        </w:rPr>
        <w:t xml:space="preserve"> and </w:t>
      </w:r>
      <w:r>
        <w:rPr>
          <w:rFonts w:cs="Times New Roman"/>
          <w:sz w:val="24"/>
          <w:szCs w:val="24"/>
        </w:rPr>
        <w:t>IR</w:t>
      </w:r>
      <w:r w:rsidRPr="001E73A1">
        <w:rPr>
          <w:rFonts w:cs="Times New Roman"/>
          <w:sz w:val="24"/>
          <w:szCs w:val="24"/>
        </w:rPr>
        <w:t xml:space="preserve"> are summarised in table 2</w:t>
      </w:r>
      <w:r>
        <w:rPr>
          <w:rFonts w:cs="Times New Roman"/>
          <w:sz w:val="24"/>
          <w:szCs w:val="24"/>
        </w:rPr>
        <w:t xml:space="preserve"> and table 3</w:t>
      </w:r>
      <w:r w:rsidRPr="001E73A1">
        <w:rPr>
          <w:rFonts w:cs="Times New Roman"/>
          <w:sz w:val="24"/>
          <w:szCs w:val="24"/>
        </w:rPr>
        <w:t xml:space="preserve"> for male</w:t>
      </w:r>
      <w:r>
        <w:rPr>
          <w:rFonts w:cs="Times New Roman"/>
          <w:sz w:val="24"/>
          <w:szCs w:val="24"/>
        </w:rPr>
        <w:t xml:space="preserve"> and female</w:t>
      </w:r>
      <w:r w:rsidRPr="001E73A1">
        <w:rPr>
          <w:rFonts w:cs="Times New Roman"/>
          <w:sz w:val="24"/>
          <w:szCs w:val="24"/>
        </w:rPr>
        <w:t xml:space="preserve"> participants </w:t>
      </w:r>
      <w:r>
        <w:rPr>
          <w:rFonts w:cs="Times New Roman"/>
          <w:sz w:val="24"/>
          <w:szCs w:val="24"/>
        </w:rPr>
        <w:t>respectively</w:t>
      </w:r>
      <w:r w:rsidRPr="001E73A1">
        <w:rPr>
          <w:rFonts w:cs="Times New Roman"/>
          <w:sz w:val="24"/>
          <w:szCs w:val="24"/>
        </w:rPr>
        <w:t>.</w:t>
      </w:r>
      <w:r>
        <w:rPr>
          <w:rFonts w:cs="Times New Roman"/>
          <w:sz w:val="24"/>
          <w:szCs w:val="24"/>
        </w:rPr>
        <w:t xml:space="preserve"> </w:t>
      </w:r>
      <w:r w:rsidRPr="001E73A1">
        <w:rPr>
          <w:rFonts w:cs="Times New Roman"/>
          <w:sz w:val="24"/>
          <w:szCs w:val="24"/>
        </w:rPr>
        <w:t xml:space="preserve">The </w:t>
      </w:r>
      <w:r>
        <w:rPr>
          <w:rFonts w:cs="Times New Roman"/>
          <w:sz w:val="24"/>
          <w:szCs w:val="24"/>
        </w:rPr>
        <w:t>P</w:t>
      </w:r>
      <w:r w:rsidRPr="001E73A1">
        <w:rPr>
          <w:rFonts w:cs="Times New Roman"/>
          <w:sz w:val="24"/>
          <w:szCs w:val="24"/>
        </w:rPr>
        <w:t>earson</w:t>
      </w:r>
      <w:r>
        <w:rPr>
          <w:rFonts w:cs="Times New Roman"/>
          <w:sz w:val="24"/>
          <w:szCs w:val="24"/>
        </w:rPr>
        <w:t>’s correlation</w:t>
      </w:r>
      <w:r w:rsidRPr="001E73A1">
        <w:rPr>
          <w:rFonts w:cs="Times New Roman"/>
          <w:sz w:val="24"/>
          <w:szCs w:val="24"/>
        </w:rPr>
        <w:t xml:space="preserve"> between</w:t>
      </w:r>
      <w:r>
        <w:rPr>
          <w:rFonts w:cs="Times New Roman"/>
          <w:sz w:val="24"/>
          <w:szCs w:val="24"/>
        </w:rPr>
        <w:t xml:space="preserve"> negative</w:t>
      </w:r>
      <w:r w:rsidRPr="001E73A1">
        <w:rPr>
          <w:rFonts w:cs="Times New Roman"/>
          <w:sz w:val="24"/>
          <w:szCs w:val="24"/>
        </w:rPr>
        <w:t xml:space="preserve"> FPI, </w:t>
      </w:r>
      <w:r>
        <w:rPr>
          <w:rFonts w:cs="Times New Roman"/>
          <w:sz w:val="24"/>
          <w:szCs w:val="24"/>
        </w:rPr>
        <w:t>TOTALDL</w:t>
      </w:r>
      <w:r w:rsidRPr="001E73A1">
        <w:rPr>
          <w:rFonts w:cs="Times New Roman"/>
          <w:sz w:val="24"/>
          <w:szCs w:val="24"/>
        </w:rPr>
        <w:t xml:space="preserve">, and </w:t>
      </w:r>
      <w:r>
        <w:rPr>
          <w:rFonts w:cs="Times New Roman"/>
          <w:sz w:val="24"/>
          <w:szCs w:val="24"/>
        </w:rPr>
        <w:t>IR are summarised in table 4</w:t>
      </w:r>
      <w:r w:rsidRPr="001E73A1">
        <w:rPr>
          <w:rFonts w:cs="Times New Roman"/>
          <w:sz w:val="24"/>
          <w:szCs w:val="24"/>
        </w:rPr>
        <w:t xml:space="preserve"> </w:t>
      </w:r>
      <w:r>
        <w:rPr>
          <w:rFonts w:cs="Times New Roman"/>
          <w:sz w:val="24"/>
          <w:szCs w:val="24"/>
        </w:rPr>
        <w:t xml:space="preserve">and table 5 </w:t>
      </w:r>
      <w:r w:rsidRPr="001E73A1">
        <w:rPr>
          <w:rFonts w:cs="Times New Roman"/>
          <w:sz w:val="24"/>
          <w:szCs w:val="24"/>
        </w:rPr>
        <w:t>f</w:t>
      </w:r>
      <w:r>
        <w:rPr>
          <w:rFonts w:cs="Times New Roman"/>
          <w:sz w:val="24"/>
          <w:szCs w:val="24"/>
        </w:rPr>
        <w:t>or male and female participants respectively</w:t>
      </w:r>
      <w:r w:rsidRPr="001E73A1">
        <w:rPr>
          <w:rFonts w:cs="Times New Roman"/>
          <w:sz w:val="24"/>
          <w:szCs w:val="24"/>
        </w:rPr>
        <w:t>.</w:t>
      </w:r>
    </w:p>
    <w:p w:rsidR="00953E5C" w:rsidRDefault="007A16A5" w:rsidP="00953E5C">
      <w:pPr>
        <w:autoSpaceDE w:val="0"/>
        <w:autoSpaceDN w:val="0"/>
        <w:adjustRightInd w:val="0"/>
        <w:spacing w:after="0" w:line="360" w:lineRule="auto"/>
        <w:rPr>
          <w:rFonts w:cs="Times New Roman"/>
          <w:sz w:val="24"/>
          <w:szCs w:val="24"/>
        </w:rPr>
      </w:pPr>
      <w:r>
        <w:rPr>
          <w:rFonts w:cs="Times New Roman"/>
          <w:noProof/>
          <w:sz w:val="24"/>
          <w:szCs w:val="24"/>
          <w:lang w:eastAsia="en-GB"/>
        </w:rPr>
        <w:pict>
          <v:shape id="_x0000_s1035" type="#_x0000_t202" style="position:absolute;margin-left:.75pt;margin-top:-.1pt;width:452.25pt;height:228pt;z-index:251669504" strokecolor="white [3212]">
            <v:textbox style="mso-next-textbox:#_x0000_s1035">
              <w:txbxContent>
                <w:tbl>
                  <w:tblPr>
                    <w:tblW w:w="77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52"/>
                    <w:gridCol w:w="1970"/>
                    <w:gridCol w:w="1010"/>
                    <w:gridCol w:w="1168"/>
                    <w:gridCol w:w="1455"/>
                  </w:tblGrid>
                  <w:tr w:rsidR="00953E5C" w:rsidRPr="003F3315" w:rsidTr="003F3315">
                    <w:trPr>
                      <w:cantSplit/>
                      <w:tblHeader/>
                    </w:trPr>
                    <w:tc>
                      <w:tcPr>
                        <w:tcW w:w="7755" w:type="dxa"/>
                        <w:gridSpan w:val="5"/>
                        <w:tcBorders>
                          <w:top w:val="nil"/>
                          <w:left w:val="nil"/>
                          <w:bottom w:val="nil"/>
                          <w:right w:val="nil"/>
                        </w:tcBorders>
                        <w:shd w:val="clear" w:color="auto" w:fill="FFFFFF"/>
                        <w:tcMar>
                          <w:top w:w="30" w:type="dxa"/>
                          <w:left w:w="30" w:type="dxa"/>
                          <w:bottom w:w="30" w:type="dxa"/>
                          <w:right w:w="30" w:type="dxa"/>
                        </w:tcMar>
                        <w:vAlign w:val="center"/>
                      </w:tcPr>
                      <w:p w:rsidR="00953E5C" w:rsidRPr="003F3315" w:rsidRDefault="00953E5C" w:rsidP="003F3315">
                        <w:pPr>
                          <w:autoSpaceDE w:val="0"/>
                          <w:autoSpaceDN w:val="0"/>
                          <w:adjustRightInd w:val="0"/>
                          <w:spacing w:after="0" w:line="320" w:lineRule="atLeast"/>
                          <w:jc w:val="center"/>
                          <w:rPr>
                            <w:rFonts w:ascii="Arial" w:hAnsi="Arial" w:cs="Arial"/>
                            <w:color w:val="000000"/>
                            <w:sz w:val="18"/>
                            <w:szCs w:val="18"/>
                          </w:rPr>
                        </w:pPr>
                      </w:p>
                    </w:tc>
                  </w:tr>
                  <w:tr w:rsidR="00953E5C" w:rsidRPr="003F3315" w:rsidTr="003F3315">
                    <w:trPr>
                      <w:cantSplit/>
                      <w:tblHeader/>
                    </w:trPr>
                    <w:tc>
                      <w:tcPr>
                        <w:tcW w:w="215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Times New Roman" w:hAnsi="Times New Roman" w:cs="Times New Roman"/>
                            <w:sz w:val="24"/>
                            <w:szCs w:val="24"/>
                          </w:rPr>
                        </w:pPr>
                      </w:p>
                    </w:tc>
                    <w:tc>
                      <w:tcPr>
                        <w:tcW w:w="19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3F3315" w:rsidRDefault="00953E5C" w:rsidP="003F3315">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 xml:space="preserve">FPI </w:t>
                        </w:r>
                        <w:r w:rsidRPr="003F3315">
                          <w:rPr>
                            <w:rFonts w:ascii="Arial" w:hAnsi="Arial" w:cs="Arial"/>
                            <w:color w:val="000000"/>
                            <w:sz w:val="18"/>
                            <w:szCs w:val="18"/>
                          </w:rPr>
                          <w:t>score</w:t>
                        </w:r>
                      </w:p>
                    </w:tc>
                    <w:tc>
                      <w:tcPr>
                        <w:tcW w:w="11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3F3315" w:rsidRDefault="00953E5C" w:rsidP="003F3315">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IR</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3F3315" w:rsidRDefault="00953E5C" w:rsidP="003F3315">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TOTALDL</w:t>
                        </w:r>
                      </w:p>
                    </w:tc>
                  </w:tr>
                  <w:tr w:rsidR="00953E5C" w:rsidRPr="003F3315" w:rsidTr="0057023C">
                    <w:trPr>
                      <w:cantSplit/>
                      <w:tblHeader/>
                    </w:trPr>
                    <w:tc>
                      <w:tcPr>
                        <w:tcW w:w="215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FPI</w:t>
                        </w:r>
                      </w:p>
                    </w:tc>
                    <w:tc>
                      <w:tcPr>
                        <w:tcW w:w="19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A03CAA">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Pearson</w:t>
                        </w:r>
                        <w:r>
                          <w:rPr>
                            <w:rFonts w:ascii="Arial" w:hAnsi="Arial" w:cs="Arial"/>
                            <w:color w:val="000000"/>
                            <w:sz w:val="18"/>
                            <w:szCs w:val="18"/>
                          </w:rPr>
                          <w:t xml:space="preserve">’s </w:t>
                        </w:r>
                        <w:r w:rsidRPr="003F3315">
                          <w:rPr>
                            <w:rFonts w:ascii="Arial" w:hAnsi="Arial" w:cs="Arial"/>
                            <w:color w:val="000000"/>
                            <w:sz w:val="18"/>
                            <w:szCs w:val="18"/>
                          </w:rPr>
                          <w:t>Correlation</w:t>
                        </w:r>
                      </w:p>
                    </w:tc>
                    <w:tc>
                      <w:tcPr>
                        <w:tcW w:w="1010" w:type="dxa"/>
                        <w:vMerge w:val="restart"/>
                        <w:tcBorders>
                          <w:top w:val="single" w:sz="16" w:space="0" w:color="000000"/>
                          <w:lef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c>
                      <w:tcPr>
                        <w:tcW w:w="1168" w:type="dxa"/>
                        <w:tcBorders>
                          <w:top w:val="single" w:sz="16" w:space="0" w:color="000000"/>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.590</w:t>
                        </w:r>
                        <w:r w:rsidRPr="003F3315">
                          <w:rPr>
                            <w:rFonts w:ascii="Arial" w:hAnsi="Arial" w:cs="Arial"/>
                            <w:color w:val="000000"/>
                            <w:sz w:val="18"/>
                            <w:szCs w:val="18"/>
                            <w:vertAlign w:val="superscript"/>
                          </w:rPr>
                          <w:t>**</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.746</w:t>
                        </w:r>
                        <w:r w:rsidRPr="003F3315">
                          <w:rPr>
                            <w:rFonts w:ascii="Arial" w:hAnsi="Arial" w:cs="Arial"/>
                            <w:color w:val="000000"/>
                            <w:sz w:val="18"/>
                            <w:szCs w:val="18"/>
                            <w:vertAlign w:val="superscript"/>
                          </w:rPr>
                          <w:t>**</w:t>
                        </w:r>
                      </w:p>
                    </w:tc>
                  </w:tr>
                  <w:tr w:rsidR="00953E5C" w:rsidRPr="003F3315" w:rsidTr="0057023C">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Sig. (2-tailed)</w:t>
                        </w:r>
                      </w:p>
                    </w:tc>
                    <w:tc>
                      <w:tcPr>
                        <w:tcW w:w="1010" w:type="dxa"/>
                        <w:vMerge/>
                        <w:tcBorders>
                          <w:left w:val="single" w:sz="16" w:space="0" w:color="000000"/>
                        </w:tcBorders>
                        <w:shd w:val="clear" w:color="auto" w:fill="FFFFFF"/>
                        <w:tcMar>
                          <w:top w:w="30" w:type="dxa"/>
                          <w:left w:w="30" w:type="dxa"/>
                          <w:bottom w:w="30" w:type="dxa"/>
                          <w:right w:w="30" w:type="dxa"/>
                        </w:tcMar>
                        <w:vAlign w:val="center"/>
                      </w:tcPr>
                      <w:p w:rsidR="00953E5C" w:rsidRPr="003F3315" w:rsidRDefault="00953E5C" w:rsidP="003F3315">
                        <w:pPr>
                          <w:autoSpaceDE w:val="0"/>
                          <w:autoSpaceDN w:val="0"/>
                          <w:adjustRightInd w:val="0"/>
                          <w:spacing w:after="0" w:line="320" w:lineRule="atLeast"/>
                          <w:jc w:val="right"/>
                          <w:rPr>
                            <w:rFonts w:ascii="Times New Roman" w:hAnsi="Times New Roman" w:cs="Times New Roman"/>
                            <w:sz w:val="24"/>
                            <w:szCs w:val="24"/>
                          </w:rPr>
                        </w:pPr>
                      </w:p>
                    </w:tc>
                    <w:tc>
                      <w:tcPr>
                        <w:tcW w:w="1168" w:type="dxa"/>
                        <w:tcBorders>
                          <w:top w:val="nil"/>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r>
                  <w:tr w:rsidR="00953E5C" w:rsidRPr="003F3315" w:rsidTr="0057023C">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N</w:t>
                        </w:r>
                      </w:p>
                    </w:tc>
                    <w:tc>
                      <w:tcPr>
                        <w:tcW w:w="1010" w:type="dxa"/>
                        <w:vMerge/>
                        <w:tcBorders>
                          <w:lef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c>
                      <w:tcPr>
                        <w:tcW w:w="1168" w:type="dxa"/>
                        <w:tcBorders>
                          <w:top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c>
                      <w:tcPr>
                        <w:tcW w:w="1455" w:type="dxa"/>
                        <w:tcBorders>
                          <w:top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r>
                  <w:tr w:rsidR="00953E5C" w:rsidRPr="003F3315" w:rsidTr="0057023C">
                    <w:trPr>
                      <w:cantSplit/>
                      <w:tblHeader/>
                    </w:trPr>
                    <w:tc>
                      <w:tcPr>
                        <w:tcW w:w="215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TOTALDL</w:t>
                        </w:r>
                      </w:p>
                    </w:tc>
                    <w:tc>
                      <w:tcPr>
                        <w:tcW w:w="1970" w:type="dxa"/>
                        <w:tcBorders>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Pearson</w:t>
                        </w:r>
                        <w:r>
                          <w:rPr>
                            <w:rFonts w:ascii="Arial" w:hAnsi="Arial" w:cs="Arial"/>
                            <w:color w:val="000000"/>
                            <w:sz w:val="18"/>
                            <w:szCs w:val="18"/>
                          </w:rPr>
                          <w:t>’s</w:t>
                        </w:r>
                        <w:r w:rsidRPr="003F3315">
                          <w:rPr>
                            <w:rFonts w:ascii="Arial" w:hAnsi="Arial" w:cs="Arial"/>
                            <w:color w:val="000000"/>
                            <w:sz w:val="18"/>
                            <w:szCs w:val="18"/>
                          </w:rPr>
                          <w:t xml:space="preserve"> Correlation</w:t>
                        </w:r>
                      </w:p>
                    </w:tc>
                    <w:tc>
                      <w:tcPr>
                        <w:tcW w:w="1010" w:type="dxa"/>
                        <w:tcBorders>
                          <w:left w:val="single" w:sz="16" w:space="0" w:color="000000"/>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.746</w:t>
                        </w:r>
                        <w:r w:rsidRPr="003F3315">
                          <w:rPr>
                            <w:rFonts w:ascii="Arial" w:hAnsi="Arial" w:cs="Arial"/>
                            <w:color w:val="000000"/>
                            <w:sz w:val="18"/>
                            <w:szCs w:val="18"/>
                            <w:vertAlign w:val="superscript"/>
                          </w:rPr>
                          <w:t>**</w:t>
                        </w:r>
                      </w:p>
                    </w:tc>
                    <w:tc>
                      <w:tcPr>
                        <w:tcW w:w="1168" w:type="dxa"/>
                        <w:tcBorders>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.621</w:t>
                        </w:r>
                        <w:r w:rsidRPr="003F3315">
                          <w:rPr>
                            <w:rFonts w:ascii="Arial" w:hAnsi="Arial" w:cs="Arial"/>
                            <w:color w:val="000000"/>
                            <w:sz w:val="18"/>
                            <w:szCs w:val="18"/>
                            <w:vertAlign w:val="superscript"/>
                          </w:rPr>
                          <w:t>**</w:t>
                        </w:r>
                      </w:p>
                    </w:tc>
                    <w:tc>
                      <w:tcPr>
                        <w:tcW w:w="1455" w:type="dxa"/>
                        <w:vMerge w:val="restart"/>
                        <w:tcBorders>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r>
                  <w:tr w:rsidR="00953E5C" w:rsidRPr="003F3315" w:rsidTr="0057023C">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Sig. (2-tailed)</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c>
                      <w:tcPr>
                        <w:tcW w:w="1168" w:type="dxa"/>
                        <w:tcBorders>
                          <w:top w:val="nil"/>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c>
                      <w:tcPr>
                        <w:tcW w:w="1455" w:type="dxa"/>
                        <w:vMerge/>
                        <w:tcBorders>
                          <w:right w:val="single" w:sz="16" w:space="0" w:color="000000"/>
                        </w:tcBorders>
                        <w:shd w:val="clear" w:color="auto" w:fill="FFFFFF"/>
                        <w:tcMar>
                          <w:top w:w="30" w:type="dxa"/>
                          <w:left w:w="30" w:type="dxa"/>
                          <w:bottom w:w="30" w:type="dxa"/>
                          <w:right w:w="30" w:type="dxa"/>
                        </w:tcMar>
                        <w:vAlign w:val="center"/>
                      </w:tcPr>
                      <w:p w:rsidR="00953E5C" w:rsidRPr="003F3315" w:rsidRDefault="00953E5C" w:rsidP="003F3315">
                        <w:pPr>
                          <w:autoSpaceDE w:val="0"/>
                          <w:autoSpaceDN w:val="0"/>
                          <w:adjustRightInd w:val="0"/>
                          <w:spacing w:after="0" w:line="320" w:lineRule="atLeast"/>
                          <w:jc w:val="right"/>
                          <w:rPr>
                            <w:rFonts w:ascii="Times New Roman" w:hAnsi="Times New Roman" w:cs="Times New Roman"/>
                            <w:sz w:val="24"/>
                            <w:szCs w:val="24"/>
                          </w:rPr>
                        </w:pPr>
                      </w:p>
                    </w:tc>
                  </w:tr>
                  <w:tr w:rsidR="00953E5C" w:rsidRPr="003F3315" w:rsidTr="0057023C">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Times New Roman" w:hAnsi="Times New Roman" w:cs="Times New Roman"/>
                            <w:sz w:val="24"/>
                            <w:szCs w:val="24"/>
                          </w:rPr>
                        </w:pPr>
                      </w:p>
                    </w:tc>
                    <w:tc>
                      <w:tcPr>
                        <w:tcW w:w="19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N</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c>
                      <w:tcPr>
                        <w:tcW w:w="1168" w:type="dxa"/>
                        <w:tcBorders>
                          <w:top w:val="nil"/>
                          <w:bottom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c>
                      <w:tcPr>
                        <w:tcW w:w="1455" w:type="dxa"/>
                        <w:vMerge/>
                        <w:tcBorders>
                          <w:bottom w:val="single" w:sz="16" w:space="0" w:color="000000"/>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r>
                  <w:tr w:rsidR="00953E5C" w:rsidRPr="003F3315" w:rsidTr="003F3315">
                    <w:trPr>
                      <w:cantSplit/>
                      <w:tblHeader/>
                    </w:trPr>
                    <w:tc>
                      <w:tcPr>
                        <w:tcW w:w="7755" w:type="dxa"/>
                        <w:gridSpan w:val="5"/>
                        <w:tcBorders>
                          <w:top w:val="nil"/>
                          <w:left w:val="nil"/>
                          <w:bottom w:val="nil"/>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 Correlation is significant at the 0.01 level (2-tailed).</w:t>
                        </w:r>
                      </w:p>
                    </w:tc>
                  </w:tr>
                  <w:tr w:rsidR="00953E5C" w:rsidRPr="003F3315" w:rsidTr="003F3315">
                    <w:trPr>
                      <w:cantSplit/>
                    </w:trPr>
                    <w:tc>
                      <w:tcPr>
                        <w:tcW w:w="7755" w:type="dxa"/>
                        <w:gridSpan w:val="5"/>
                        <w:tcBorders>
                          <w:top w:val="nil"/>
                          <w:left w:val="nil"/>
                          <w:bottom w:val="nil"/>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a. Sex = Male</w:t>
                        </w:r>
                      </w:p>
                    </w:tc>
                  </w:tr>
                </w:tbl>
                <w:p w:rsidR="00953E5C" w:rsidRPr="003F3315" w:rsidRDefault="00953E5C" w:rsidP="00953E5C">
                  <w:pPr>
                    <w:autoSpaceDE w:val="0"/>
                    <w:autoSpaceDN w:val="0"/>
                    <w:adjustRightInd w:val="0"/>
                    <w:spacing w:after="0" w:line="400" w:lineRule="atLeast"/>
                    <w:rPr>
                      <w:rFonts w:ascii="Times New Roman" w:hAnsi="Times New Roman" w:cs="Times New Roman"/>
                      <w:sz w:val="24"/>
                      <w:szCs w:val="24"/>
                    </w:rPr>
                  </w:pPr>
                </w:p>
                <w:p w:rsidR="00953E5C" w:rsidRDefault="00953E5C" w:rsidP="00953E5C"/>
              </w:txbxContent>
            </v:textbox>
          </v:shape>
        </w:pict>
      </w: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pStyle w:val="Caption"/>
      </w:pPr>
    </w:p>
    <w:p w:rsidR="00953E5C" w:rsidRDefault="00953E5C" w:rsidP="00953E5C">
      <w:pPr>
        <w:pStyle w:val="Caption"/>
        <w:outlineLvl w:val="2"/>
      </w:pPr>
      <w:bookmarkStart w:id="21" w:name="_Toc216677180"/>
      <w:r>
        <w:t xml:space="preserve">Table 2 Pearson’s correlations for FPI, IR and </w:t>
      </w:r>
      <w:proofErr w:type="spellStart"/>
      <w:r>
        <w:t>TotalDL</w:t>
      </w:r>
      <w:proofErr w:type="spellEnd"/>
      <w:r>
        <w:t xml:space="preserve"> male participants with positive FPI</w:t>
      </w:r>
      <w:bookmarkEnd w:id="21"/>
      <w:r>
        <w:t xml:space="preserve"> </w:t>
      </w: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7A16A5" w:rsidP="00953E5C">
      <w:pPr>
        <w:autoSpaceDE w:val="0"/>
        <w:autoSpaceDN w:val="0"/>
        <w:adjustRightInd w:val="0"/>
        <w:spacing w:after="0" w:line="360" w:lineRule="auto"/>
        <w:rPr>
          <w:rFonts w:cs="Times New Roman"/>
          <w:sz w:val="24"/>
          <w:szCs w:val="24"/>
        </w:rPr>
      </w:pPr>
      <w:r>
        <w:rPr>
          <w:rFonts w:cs="Times New Roman"/>
          <w:noProof/>
          <w:sz w:val="24"/>
          <w:szCs w:val="24"/>
          <w:lang w:eastAsia="en-GB"/>
        </w:rPr>
        <w:lastRenderedPageBreak/>
        <w:pict>
          <v:shape id="_x0000_s1036" type="#_x0000_t202" style="position:absolute;margin-left:0;margin-top:20.7pt;width:451.5pt;height:226.8pt;z-index:251670528" strokecolor="white [3212]">
            <v:textbox style="mso-next-textbox:#_x0000_s1036">
              <w:txbxContent>
                <w:p w:rsidR="00953E5C" w:rsidRPr="003F3315" w:rsidRDefault="00953E5C" w:rsidP="00953E5C">
                  <w:pPr>
                    <w:autoSpaceDE w:val="0"/>
                    <w:autoSpaceDN w:val="0"/>
                    <w:adjustRightInd w:val="0"/>
                    <w:spacing w:after="0" w:line="240" w:lineRule="auto"/>
                    <w:rPr>
                      <w:rFonts w:ascii="Times New Roman" w:hAnsi="Times New Roman" w:cs="Times New Roman"/>
                      <w:sz w:val="24"/>
                      <w:szCs w:val="24"/>
                    </w:rPr>
                  </w:pPr>
                </w:p>
                <w:tbl>
                  <w:tblPr>
                    <w:tblW w:w="77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52"/>
                    <w:gridCol w:w="1970"/>
                    <w:gridCol w:w="1010"/>
                    <w:gridCol w:w="1168"/>
                    <w:gridCol w:w="1455"/>
                  </w:tblGrid>
                  <w:tr w:rsidR="00953E5C" w:rsidRPr="003F3315" w:rsidTr="007B5665">
                    <w:trPr>
                      <w:cantSplit/>
                      <w:tblHeader/>
                    </w:trPr>
                    <w:tc>
                      <w:tcPr>
                        <w:tcW w:w="7755" w:type="dxa"/>
                        <w:gridSpan w:val="5"/>
                        <w:tcBorders>
                          <w:top w:val="nil"/>
                          <w:left w:val="nil"/>
                          <w:bottom w:val="nil"/>
                          <w:right w:val="nil"/>
                        </w:tcBorders>
                        <w:shd w:val="clear" w:color="auto" w:fill="FFFFFF"/>
                        <w:tcMar>
                          <w:top w:w="30" w:type="dxa"/>
                          <w:left w:w="30" w:type="dxa"/>
                          <w:bottom w:w="30" w:type="dxa"/>
                          <w:right w:w="30" w:type="dxa"/>
                        </w:tcMar>
                        <w:vAlign w:val="center"/>
                      </w:tcPr>
                      <w:p w:rsidR="00953E5C" w:rsidRPr="003F3315" w:rsidRDefault="00953E5C" w:rsidP="00A03CAA">
                        <w:pPr>
                          <w:autoSpaceDE w:val="0"/>
                          <w:autoSpaceDN w:val="0"/>
                          <w:adjustRightInd w:val="0"/>
                          <w:spacing w:after="0" w:line="320" w:lineRule="atLeast"/>
                          <w:jc w:val="center"/>
                          <w:rPr>
                            <w:rFonts w:ascii="Arial" w:hAnsi="Arial" w:cs="Arial"/>
                            <w:color w:val="000000"/>
                            <w:sz w:val="18"/>
                            <w:szCs w:val="18"/>
                          </w:rPr>
                        </w:pPr>
                      </w:p>
                    </w:tc>
                  </w:tr>
                  <w:tr w:rsidR="00953E5C" w:rsidRPr="003F3315" w:rsidTr="007B5665">
                    <w:trPr>
                      <w:cantSplit/>
                      <w:tblHeader/>
                    </w:trPr>
                    <w:tc>
                      <w:tcPr>
                        <w:tcW w:w="215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Times New Roman" w:hAnsi="Times New Roman" w:cs="Times New Roman"/>
                            <w:sz w:val="24"/>
                            <w:szCs w:val="24"/>
                          </w:rPr>
                        </w:pPr>
                      </w:p>
                    </w:tc>
                    <w:tc>
                      <w:tcPr>
                        <w:tcW w:w="19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3F3315" w:rsidRDefault="00953E5C" w:rsidP="00A03CAA">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 xml:space="preserve">FPI </w:t>
                        </w:r>
                      </w:p>
                    </w:tc>
                    <w:tc>
                      <w:tcPr>
                        <w:tcW w:w="11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3F3315" w:rsidRDefault="00953E5C" w:rsidP="003F3315">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IR</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3F3315" w:rsidRDefault="00953E5C" w:rsidP="003F3315">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TOTALDL</w:t>
                        </w:r>
                      </w:p>
                    </w:tc>
                  </w:tr>
                  <w:tr w:rsidR="00953E5C" w:rsidRPr="003F3315" w:rsidTr="007B5665">
                    <w:trPr>
                      <w:cantSplit/>
                      <w:tblHeader/>
                    </w:trPr>
                    <w:tc>
                      <w:tcPr>
                        <w:tcW w:w="215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FPI</w:t>
                        </w:r>
                      </w:p>
                    </w:tc>
                    <w:tc>
                      <w:tcPr>
                        <w:tcW w:w="19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Pearson</w:t>
                        </w:r>
                        <w:r>
                          <w:rPr>
                            <w:rFonts w:ascii="Arial" w:hAnsi="Arial" w:cs="Arial"/>
                            <w:color w:val="000000"/>
                            <w:sz w:val="18"/>
                            <w:szCs w:val="18"/>
                          </w:rPr>
                          <w:t>’s</w:t>
                        </w:r>
                        <w:r w:rsidRPr="003F3315">
                          <w:rPr>
                            <w:rFonts w:ascii="Arial" w:hAnsi="Arial" w:cs="Arial"/>
                            <w:color w:val="000000"/>
                            <w:sz w:val="18"/>
                            <w:szCs w:val="18"/>
                          </w:rPr>
                          <w:t xml:space="preserve"> Correlation</w:t>
                        </w:r>
                      </w:p>
                    </w:tc>
                    <w:tc>
                      <w:tcPr>
                        <w:tcW w:w="101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c>
                      <w:tcPr>
                        <w:tcW w:w="1168" w:type="dxa"/>
                        <w:tcBorders>
                          <w:top w:val="single" w:sz="16" w:space="0" w:color="000000"/>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.676</w:t>
                        </w:r>
                        <w:r w:rsidRPr="003F3315">
                          <w:rPr>
                            <w:rFonts w:ascii="Arial" w:hAnsi="Arial" w:cs="Arial"/>
                            <w:color w:val="000000"/>
                            <w:sz w:val="18"/>
                            <w:szCs w:val="18"/>
                            <w:vertAlign w:val="superscript"/>
                          </w:rPr>
                          <w:t>**</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.694</w:t>
                        </w:r>
                        <w:r w:rsidRPr="003F3315">
                          <w:rPr>
                            <w:rFonts w:ascii="Arial" w:hAnsi="Arial" w:cs="Arial"/>
                            <w:color w:val="000000"/>
                            <w:sz w:val="18"/>
                            <w:szCs w:val="18"/>
                            <w:vertAlign w:val="superscript"/>
                          </w:rPr>
                          <w:t>**</w:t>
                        </w:r>
                      </w:p>
                    </w:tc>
                  </w:tr>
                  <w:tr w:rsidR="00953E5C" w:rsidRPr="003F3315" w:rsidTr="007B5665">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Sig. (2-tailed)</w:t>
                        </w:r>
                      </w:p>
                    </w:tc>
                    <w:tc>
                      <w:tcPr>
                        <w:tcW w:w="1010" w:type="dxa"/>
                        <w:tcBorders>
                          <w:top w:val="nil"/>
                          <w:left w:val="single" w:sz="16" w:space="0" w:color="000000"/>
                          <w:bottom w:val="nil"/>
                        </w:tcBorders>
                        <w:shd w:val="clear" w:color="auto" w:fill="FFFFFF"/>
                        <w:tcMar>
                          <w:top w:w="30" w:type="dxa"/>
                          <w:left w:w="30" w:type="dxa"/>
                          <w:bottom w:w="30" w:type="dxa"/>
                          <w:right w:w="30" w:type="dxa"/>
                        </w:tcMar>
                        <w:vAlign w:val="center"/>
                      </w:tcPr>
                      <w:p w:rsidR="00953E5C" w:rsidRPr="003F3315" w:rsidRDefault="00953E5C" w:rsidP="003F3315">
                        <w:pPr>
                          <w:autoSpaceDE w:val="0"/>
                          <w:autoSpaceDN w:val="0"/>
                          <w:adjustRightInd w:val="0"/>
                          <w:spacing w:after="0" w:line="240" w:lineRule="auto"/>
                          <w:jc w:val="center"/>
                          <w:rPr>
                            <w:rFonts w:ascii="Times New Roman" w:hAnsi="Times New Roman" w:cs="Times New Roman"/>
                            <w:sz w:val="24"/>
                            <w:szCs w:val="24"/>
                          </w:rPr>
                        </w:pPr>
                      </w:p>
                    </w:tc>
                    <w:tc>
                      <w:tcPr>
                        <w:tcW w:w="1168" w:type="dxa"/>
                        <w:tcBorders>
                          <w:top w:val="nil"/>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r>
                  <w:tr w:rsidR="00953E5C" w:rsidRPr="003F3315" w:rsidTr="007B5665">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N</w:t>
                        </w:r>
                      </w:p>
                    </w:tc>
                    <w:tc>
                      <w:tcPr>
                        <w:tcW w:w="1010" w:type="dxa"/>
                        <w:tcBorders>
                          <w:top w:val="nil"/>
                          <w:lef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c>
                      <w:tcPr>
                        <w:tcW w:w="1168" w:type="dxa"/>
                        <w:tcBorders>
                          <w:top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c>
                      <w:tcPr>
                        <w:tcW w:w="1455" w:type="dxa"/>
                        <w:tcBorders>
                          <w:top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r>
                  <w:tr w:rsidR="00953E5C" w:rsidRPr="003F3315" w:rsidTr="007B5665">
                    <w:trPr>
                      <w:cantSplit/>
                      <w:tblHeader/>
                    </w:trPr>
                    <w:tc>
                      <w:tcPr>
                        <w:tcW w:w="215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TOTALDL</w:t>
                        </w:r>
                      </w:p>
                    </w:tc>
                    <w:tc>
                      <w:tcPr>
                        <w:tcW w:w="1970" w:type="dxa"/>
                        <w:tcBorders>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Pearson</w:t>
                        </w:r>
                        <w:r>
                          <w:rPr>
                            <w:rFonts w:ascii="Arial" w:hAnsi="Arial" w:cs="Arial"/>
                            <w:color w:val="000000"/>
                            <w:sz w:val="18"/>
                            <w:szCs w:val="18"/>
                          </w:rPr>
                          <w:t>’s</w:t>
                        </w:r>
                        <w:r w:rsidRPr="003F3315">
                          <w:rPr>
                            <w:rFonts w:ascii="Arial" w:hAnsi="Arial" w:cs="Arial"/>
                            <w:color w:val="000000"/>
                            <w:sz w:val="18"/>
                            <w:szCs w:val="18"/>
                          </w:rPr>
                          <w:t xml:space="preserve"> Correlation</w:t>
                        </w:r>
                      </w:p>
                    </w:tc>
                    <w:tc>
                      <w:tcPr>
                        <w:tcW w:w="1010" w:type="dxa"/>
                        <w:tcBorders>
                          <w:left w:val="single" w:sz="16" w:space="0" w:color="000000"/>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.694</w:t>
                        </w:r>
                        <w:r w:rsidRPr="003F3315">
                          <w:rPr>
                            <w:rFonts w:ascii="Arial" w:hAnsi="Arial" w:cs="Arial"/>
                            <w:color w:val="000000"/>
                            <w:sz w:val="18"/>
                            <w:szCs w:val="18"/>
                            <w:vertAlign w:val="superscript"/>
                          </w:rPr>
                          <w:t>**</w:t>
                        </w:r>
                      </w:p>
                    </w:tc>
                    <w:tc>
                      <w:tcPr>
                        <w:tcW w:w="1168" w:type="dxa"/>
                        <w:tcBorders>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.788</w:t>
                        </w:r>
                        <w:r w:rsidRPr="003F3315">
                          <w:rPr>
                            <w:rFonts w:ascii="Arial" w:hAnsi="Arial" w:cs="Arial"/>
                            <w:color w:val="000000"/>
                            <w:sz w:val="18"/>
                            <w:szCs w:val="18"/>
                            <w:vertAlign w:val="superscript"/>
                          </w:rPr>
                          <w:t>**</w:t>
                        </w:r>
                      </w:p>
                    </w:tc>
                    <w:tc>
                      <w:tcPr>
                        <w:tcW w:w="1455" w:type="dxa"/>
                        <w:tcBorders>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r>
                  <w:tr w:rsidR="00953E5C" w:rsidRPr="003F3315" w:rsidTr="007B5665">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Sig. (2-tailed)</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c>
                      <w:tcPr>
                        <w:tcW w:w="1168" w:type="dxa"/>
                        <w:tcBorders>
                          <w:top w:val="nil"/>
                          <w:bottom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.000</w:t>
                        </w: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953E5C" w:rsidRPr="003F3315" w:rsidRDefault="00953E5C" w:rsidP="003F3315">
                        <w:pPr>
                          <w:autoSpaceDE w:val="0"/>
                          <w:autoSpaceDN w:val="0"/>
                          <w:adjustRightInd w:val="0"/>
                          <w:spacing w:after="0" w:line="240" w:lineRule="auto"/>
                          <w:jc w:val="center"/>
                          <w:rPr>
                            <w:rFonts w:ascii="Times New Roman" w:hAnsi="Times New Roman" w:cs="Times New Roman"/>
                            <w:sz w:val="24"/>
                            <w:szCs w:val="24"/>
                          </w:rPr>
                        </w:pPr>
                      </w:p>
                    </w:tc>
                  </w:tr>
                  <w:tr w:rsidR="00953E5C" w:rsidRPr="003F3315" w:rsidTr="007B5665">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240" w:lineRule="auto"/>
                          <w:rPr>
                            <w:rFonts w:ascii="Times New Roman" w:hAnsi="Times New Roman" w:cs="Times New Roman"/>
                            <w:sz w:val="24"/>
                            <w:szCs w:val="24"/>
                          </w:rPr>
                        </w:pPr>
                      </w:p>
                    </w:tc>
                    <w:tc>
                      <w:tcPr>
                        <w:tcW w:w="19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N</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c>
                      <w:tcPr>
                        <w:tcW w:w="1168" w:type="dxa"/>
                        <w:tcBorders>
                          <w:top w:val="nil"/>
                          <w:bottom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r w:rsidRPr="003F3315">
                          <w:rPr>
                            <w:rFonts w:ascii="Arial" w:hAnsi="Arial" w:cs="Arial"/>
                            <w:color w:val="000000"/>
                            <w:sz w:val="18"/>
                            <w:szCs w:val="18"/>
                          </w:rPr>
                          <w:t>43</w:t>
                        </w: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jc w:val="right"/>
                          <w:rPr>
                            <w:rFonts w:ascii="Arial" w:hAnsi="Arial" w:cs="Arial"/>
                            <w:color w:val="000000"/>
                            <w:sz w:val="18"/>
                            <w:szCs w:val="18"/>
                          </w:rPr>
                        </w:pPr>
                      </w:p>
                    </w:tc>
                  </w:tr>
                  <w:tr w:rsidR="00953E5C" w:rsidRPr="003F3315" w:rsidTr="007B5665">
                    <w:trPr>
                      <w:cantSplit/>
                      <w:tblHeader/>
                    </w:trPr>
                    <w:tc>
                      <w:tcPr>
                        <w:tcW w:w="7755" w:type="dxa"/>
                        <w:gridSpan w:val="5"/>
                        <w:tcBorders>
                          <w:top w:val="nil"/>
                          <w:left w:val="nil"/>
                          <w:bottom w:val="nil"/>
                          <w:right w:val="nil"/>
                        </w:tcBorders>
                        <w:shd w:val="clear" w:color="auto" w:fill="FFFFFF"/>
                        <w:tcMar>
                          <w:top w:w="30" w:type="dxa"/>
                          <w:left w:w="30" w:type="dxa"/>
                          <w:bottom w:w="30" w:type="dxa"/>
                          <w:right w:w="30" w:type="dxa"/>
                        </w:tcMar>
                      </w:tcPr>
                      <w:p w:rsidR="00953E5C" w:rsidRPr="003F3315"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 Correlation is significant at the 0.01 level (2-tailed).</w:t>
                        </w:r>
                      </w:p>
                    </w:tc>
                  </w:tr>
                  <w:tr w:rsidR="00953E5C" w:rsidRPr="003F3315" w:rsidTr="007B5665">
                    <w:trPr>
                      <w:cantSplit/>
                    </w:trPr>
                    <w:tc>
                      <w:tcPr>
                        <w:tcW w:w="7755" w:type="dxa"/>
                        <w:gridSpan w:val="5"/>
                        <w:tcBorders>
                          <w:top w:val="nil"/>
                          <w:left w:val="nil"/>
                          <w:bottom w:val="nil"/>
                          <w:right w:val="nil"/>
                        </w:tcBorders>
                        <w:shd w:val="clear" w:color="auto" w:fill="FFFFFF"/>
                        <w:tcMar>
                          <w:top w:w="30" w:type="dxa"/>
                          <w:left w:w="30" w:type="dxa"/>
                          <w:bottom w:w="30" w:type="dxa"/>
                          <w:right w:w="30" w:type="dxa"/>
                        </w:tcMar>
                      </w:tcPr>
                      <w:p w:rsidR="00953E5C" w:rsidRDefault="00953E5C" w:rsidP="003F3315">
                        <w:pPr>
                          <w:autoSpaceDE w:val="0"/>
                          <w:autoSpaceDN w:val="0"/>
                          <w:adjustRightInd w:val="0"/>
                          <w:spacing w:after="0" w:line="320" w:lineRule="atLeast"/>
                          <w:rPr>
                            <w:rFonts w:ascii="Arial" w:hAnsi="Arial" w:cs="Arial"/>
                            <w:color w:val="000000"/>
                            <w:sz w:val="18"/>
                            <w:szCs w:val="18"/>
                          </w:rPr>
                        </w:pPr>
                        <w:r w:rsidRPr="003F3315">
                          <w:rPr>
                            <w:rFonts w:ascii="Arial" w:hAnsi="Arial" w:cs="Arial"/>
                            <w:color w:val="000000"/>
                            <w:sz w:val="18"/>
                            <w:szCs w:val="18"/>
                          </w:rPr>
                          <w:t>a. Sex = Female</w:t>
                        </w:r>
                      </w:p>
                      <w:p w:rsidR="00953E5C" w:rsidRDefault="00953E5C" w:rsidP="003F3315">
                        <w:pPr>
                          <w:autoSpaceDE w:val="0"/>
                          <w:autoSpaceDN w:val="0"/>
                          <w:adjustRightInd w:val="0"/>
                          <w:spacing w:after="0" w:line="320" w:lineRule="atLeast"/>
                          <w:rPr>
                            <w:rFonts w:ascii="Arial" w:hAnsi="Arial" w:cs="Arial"/>
                            <w:color w:val="000000"/>
                            <w:sz w:val="18"/>
                            <w:szCs w:val="18"/>
                          </w:rPr>
                        </w:pPr>
                      </w:p>
                      <w:p w:rsidR="00953E5C" w:rsidRPr="003F3315" w:rsidRDefault="00953E5C" w:rsidP="00A24B36">
                        <w:pPr>
                          <w:pStyle w:val="Caption"/>
                          <w:rPr>
                            <w:rFonts w:ascii="Arial" w:hAnsi="Arial" w:cs="Arial"/>
                            <w:color w:val="000000"/>
                          </w:rPr>
                        </w:pPr>
                      </w:p>
                    </w:tc>
                  </w:tr>
                </w:tbl>
                <w:p w:rsidR="00953E5C" w:rsidRPr="003F3315" w:rsidRDefault="00953E5C" w:rsidP="00953E5C">
                  <w:pPr>
                    <w:autoSpaceDE w:val="0"/>
                    <w:autoSpaceDN w:val="0"/>
                    <w:adjustRightInd w:val="0"/>
                    <w:spacing w:after="0" w:line="400" w:lineRule="atLeast"/>
                    <w:rPr>
                      <w:rFonts w:ascii="Times New Roman" w:hAnsi="Times New Roman" w:cs="Times New Roman"/>
                      <w:sz w:val="24"/>
                      <w:szCs w:val="24"/>
                    </w:rPr>
                  </w:pPr>
                </w:p>
                <w:p w:rsidR="00953E5C" w:rsidRDefault="00953E5C" w:rsidP="00953E5C"/>
              </w:txbxContent>
            </v:textbox>
          </v:shape>
        </w:pict>
      </w: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 w:rsidR="00953E5C" w:rsidRDefault="00953E5C" w:rsidP="00953E5C"/>
    <w:p w:rsidR="00953E5C" w:rsidRDefault="00953E5C" w:rsidP="00953E5C">
      <w:pPr>
        <w:pStyle w:val="Caption"/>
        <w:outlineLvl w:val="2"/>
      </w:pPr>
      <w:bookmarkStart w:id="22" w:name="_Toc216677181"/>
      <w:r>
        <w:t xml:space="preserve">Table 3: Pearson’s correlation for FPI, </w:t>
      </w:r>
      <w:proofErr w:type="spellStart"/>
      <w:r>
        <w:t>TotalDL</w:t>
      </w:r>
      <w:proofErr w:type="spellEnd"/>
      <w:r>
        <w:t xml:space="preserve"> and IR female participants with positive FPI</w:t>
      </w:r>
      <w:bookmarkEnd w:id="22"/>
      <w:r>
        <w:t xml:space="preserve"> </w:t>
      </w:r>
    </w:p>
    <w:p w:rsidR="00953E5C" w:rsidRDefault="007A16A5" w:rsidP="00953E5C">
      <w:r>
        <w:rPr>
          <w:noProof/>
          <w:lang w:eastAsia="en-GB"/>
        </w:rPr>
        <w:pict>
          <v:shape id="_x0000_s1030" type="#_x0000_t202" style="position:absolute;margin-left:0;margin-top:16.6pt;width:446.25pt;height:199.55pt;z-index:251664384" strokecolor="white [3212]">
            <v:textbox style="mso-next-textbox:#_x0000_s1030">
              <w:txbxContent>
                <w:tbl>
                  <w:tblPr>
                    <w:tblW w:w="77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52"/>
                    <w:gridCol w:w="1970"/>
                    <w:gridCol w:w="1010"/>
                    <w:gridCol w:w="1454"/>
                    <w:gridCol w:w="1169"/>
                  </w:tblGrid>
                  <w:tr w:rsidR="00953E5C" w:rsidRPr="00FF61DF" w:rsidTr="0057023C">
                    <w:trPr>
                      <w:cantSplit/>
                      <w:tblHeader/>
                    </w:trPr>
                    <w:tc>
                      <w:tcPr>
                        <w:tcW w:w="7755" w:type="dxa"/>
                        <w:gridSpan w:val="5"/>
                        <w:tcBorders>
                          <w:top w:val="nil"/>
                          <w:left w:val="nil"/>
                          <w:bottom w:val="nil"/>
                          <w:right w:val="nil"/>
                        </w:tcBorders>
                        <w:shd w:val="clear" w:color="auto" w:fill="FFFFFF"/>
                        <w:tcMar>
                          <w:top w:w="30" w:type="dxa"/>
                          <w:left w:w="30" w:type="dxa"/>
                          <w:bottom w:w="30" w:type="dxa"/>
                          <w:right w:w="30" w:type="dxa"/>
                        </w:tcMar>
                        <w:vAlign w:val="center"/>
                      </w:tcPr>
                      <w:p w:rsidR="00953E5C" w:rsidRPr="00FF61DF" w:rsidRDefault="00953E5C" w:rsidP="0057023C">
                        <w:pPr>
                          <w:autoSpaceDE w:val="0"/>
                          <w:autoSpaceDN w:val="0"/>
                          <w:adjustRightInd w:val="0"/>
                          <w:spacing w:after="0" w:line="320" w:lineRule="atLeast"/>
                          <w:jc w:val="center"/>
                          <w:rPr>
                            <w:rFonts w:ascii="Arial" w:hAnsi="Arial" w:cs="Arial"/>
                            <w:color w:val="000000"/>
                            <w:sz w:val="18"/>
                            <w:szCs w:val="18"/>
                          </w:rPr>
                        </w:pPr>
                      </w:p>
                    </w:tc>
                  </w:tr>
                  <w:tr w:rsidR="00953E5C" w:rsidRPr="00FF61DF" w:rsidTr="0057023C">
                    <w:trPr>
                      <w:cantSplit/>
                      <w:tblHeader/>
                    </w:trPr>
                    <w:tc>
                      <w:tcPr>
                        <w:tcW w:w="215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Times New Roman" w:hAnsi="Times New Roman" w:cs="Times New Roman"/>
                            <w:sz w:val="24"/>
                            <w:szCs w:val="24"/>
                          </w:rPr>
                        </w:pPr>
                      </w:p>
                    </w:tc>
                    <w:tc>
                      <w:tcPr>
                        <w:tcW w:w="19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8" w:space="0" w:color="000000"/>
                        </w:tcBorders>
                        <w:shd w:val="clear" w:color="auto" w:fill="FFFFFF"/>
                        <w:tcMar>
                          <w:top w:w="30" w:type="dxa"/>
                          <w:left w:w="30" w:type="dxa"/>
                          <w:bottom w:w="30" w:type="dxa"/>
                          <w:right w:w="30" w:type="dxa"/>
                        </w:tcMar>
                        <w:vAlign w:val="bottom"/>
                      </w:tcPr>
                      <w:p w:rsidR="00953E5C" w:rsidRPr="00FF61DF" w:rsidRDefault="00953E5C" w:rsidP="0057023C">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FPI</w:t>
                        </w:r>
                      </w:p>
                    </w:tc>
                    <w:tc>
                      <w:tcPr>
                        <w:tcW w:w="145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FF61DF" w:rsidRDefault="00953E5C" w:rsidP="0057023C">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TOTALDL</w:t>
                        </w:r>
                      </w:p>
                    </w:tc>
                    <w:tc>
                      <w:tcPr>
                        <w:tcW w:w="11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FF61DF" w:rsidRDefault="00953E5C" w:rsidP="0057023C">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IR</w:t>
                        </w:r>
                      </w:p>
                    </w:tc>
                  </w:tr>
                  <w:tr w:rsidR="00953E5C" w:rsidRPr="00FF61DF" w:rsidTr="0057023C">
                    <w:trPr>
                      <w:cantSplit/>
                      <w:tblHeader/>
                    </w:trPr>
                    <w:tc>
                      <w:tcPr>
                        <w:tcW w:w="215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FPI</w:t>
                        </w:r>
                      </w:p>
                    </w:tc>
                    <w:tc>
                      <w:tcPr>
                        <w:tcW w:w="1970" w:type="dxa"/>
                        <w:tcBorders>
                          <w:top w:val="single" w:sz="16" w:space="0" w:color="000000"/>
                          <w:left w:val="nil"/>
                          <w:bottom w:val="nil"/>
                          <w:right w:val="single" w:sz="1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Pearson</w:t>
                        </w:r>
                        <w:r>
                          <w:rPr>
                            <w:rFonts w:ascii="Arial" w:hAnsi="Arial" w:cs="Arial"/>
                            <w:color w:val="000000"/>
                            <w:sz w:val="18"/>
                            <w:szCs w:val="18"/>
                          </w:rPr>
                          <w:t>’s</w:t>
                        </w:r>
                        <w:r w:rsidRPr="00FF61DF">
                          <w:rPr>
                            <w:rFonts w:ascii="Arial" w:hAnsi="Arial" w:cs="Arial"/>
                            <w:color w:val="000000"/>
                            <w:sz w:val="18"/>
                            <w:szCs w:val="18"/>
                          </w:rPr>
                          <w:t xml:space="preserve"> Correlation</w:t>
                        </w:r>
                      </w:p>
                    </w:tc>
                    <w:tc>
                      <w:tcPr>
                        <w:tcW w:w="1010" w:type="dxa"/>
                        <w:tcBorders>
                          <w:top w:val="single" w:sz="18" w:space="0" w:color="000000"/>
                          <w:left w:val="single" w:sz="18" w:space="0" w:color="000000"/>
                          <w:bottom w:val="nil"/>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1</w:t>
                        </w:r>
                      </w:p>
                    </w:tc>
                    <w:tc>
                      <w:tcPr>
                        <w:tcW w:w="1454" w:type="dxa"/>
                        <w:tcBorders>
                          <w:top w:val="single" w:sz="16" w:space="0" w:color="000000"/>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-.599</w:t>
                        </w:r>
                      </w:p>
                    </w:tc>
                    <w:tc>
                      <w:tcPr>
                        <w:tcW w:w="11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-.704</w:t>
                        </w:r>
                      </w:p>
                    </w:tc>
                  </w:tr>
                  <w:tr w:rsidR="00953E5C" w:rsidRPr="00FF61DF" w:rsidTr="0057023C">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Sig. (2-tailed)</w:t>
                        </w:r>
                      </w:p>
                    </w:tc>
                    <w:tc>
                      <w:tcPr>
                        <w:tcW w:w="1010" w:type="dxa"/>
                        <w:tcBorders>
                          <w:top w:val="nil"/>
                          <w:left w:val="single" w:sz="18" w:space="0" w:color="000000"/>
                          <w:bottom w:val="nil"/>
                        </w:tcBorders>
                        <w:shd w:val="clear" w:color="auto" w:fill="000000" w:themeFill="text1"/>
                        <w:tcMar>
                          <w:top w:w="30" w:type="dxa"/>
                          <w:left w:w="30" w:type="dxa"/>
                          <w:bottom w:w="30" w:type="dxa"/>
                          <w:right w:w="30" w:type="dxa"/>
                        </w:tcMar>
                        <w:vAlign w:val="center"/>
                      </w:tcPr>
                      <w:p w:rsidR="00953E5C" w:rsidRPr="00FF61DF" w:rsidRDefault="00953E5C" w:rsidP="0057023C">
                        <w:pPr>
                          <w:autoSpaceDE w:val="0"/>
                          <w:autoSpaceDN w:val="0"/>
                          <w:adjustRightInd w:val="0"/>
                          <w:spacing w:after="0" w:line="240" w:lineRule="auto"/>
                          <w:jc w:val="center"/>
                          <w:rPr>
                            <w:rFonts w:ascii="Times New Roman" w:hAnsi="Times New Roman" w:cs="Times New Roman"/>
                            <w:sz w:val="24"/>
                            <w:szCs w:val="24"/>
                          </w:rPr>
                        </w:pPr>
                      </w:p>
                    </w:tc>
                    <w:tc>
                      <w:tcPr>
                        <w:tcW w:w="1454" w:type="dxa"/>
                        <w:tcBorders>
                          <w:top w:val="nil"/>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.155</w:t>
                        </w:r>
                      </w:p>
                    </w:tc>
                    <w:tc>
                      <w:tcPr>
                        <w:tcW w:w="1169" w:type="dxa"/>
                        <w:tcBorders>
                          <w:top w:val="nil"/>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.077</w:t>
                        </w:r>
                      </w:p>
                    </w:tc>
                  </w:tr>
                  <w:tr w:rsidR="00953E5C" w:rsidRPr="00FF61DF" w:rsidTr="0057023C">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right w:val="single" w:sz="1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N</w:t>
                        </w:r>
                      </w:p>
                    </w:tc>
                    <w:tc>
                      <w:tcPr>
                        <w:tcW w:w="1010" w:type="dxa"/>
                        <w:tcBorders>
                          <w:top w:val="nil"/>
                          <w:left w:val="single" w:sz="18" w:space="0" w:color="000000"/>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w:t>
                        </w:r>
                      </w:p>
                    </w:tc>
                    <w:tc>
                      <w:tcPr>
                        <w:tcW w:w="1454" w:type="dxa"/>
                        <w:tcBorders>
                          <w:top w:val="nil"/>
                          <w:bottom w:val="single" w:sz="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w:t>
                        </w:r>
                      </w:p>
                    </w:tc>
                    <w:tc>
                      <w:tcPr>
                        <w:tcW w:w="1169" w:type="dxa"/>
                        <w:tcBorders>
                          <w:top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w:t>
                        </w:r>
                      </w:p>
                    </w:tc>
                  </w:tr>
                  <w:tr w:rsidR="00953E5C" w:rsidRPr="00FF61DF" w:rsidTr="0057023C">
                    <w:trPr>
                      <w:cantSplit/>
                      <w:tblHeader/>
                    </w:trPr>
                    <w:tc>
                      <w:tcPr>
                        <w:tcW w:w="215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IR</w:t>
                        </w:r>
                      </w:p>
                    </w:tc>
                    <w:tc>
                      <w:tcPr>
                        <w:tcW w:w="1970" w:type="dxa"/>
                        <w:tcBorders>
                          <w:left w:val="nil"/>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Pearson</w:t>
                        </w:r>
                        <w:r>
                          <w:rPr>
                            <w:rFonts w:ascii="Arial" w:hAnsi="Arial" w:cs="Arial"/>
                            <w:color w:val="000000"/>
                            <w:sz w:val="18"/>
                            <w:szCs w:val="18"/>
                          </w:rPr>
                          <w:t>’s</w:t>
                        </w:r>
                        <w:r w:rsidRPr="00FF61DF">
                          <w:rPr>
                            <w:rFonts w:ascii="Arial" w:hAnsi="Arial" w:cs="Arial"/>
                            <w:color w:val="000000"/>
                            <w:sz w:val="18"/>
                            <w:szCs w:val="18"/>
                          </w:rPr>
                          <w:t xml:space="preserve"> Correlation</w:t>
                        </w:r>
                      </w:p>
                    </w:tc>
                    <w:tc>
                      <w:tcPr>
                        <w:tcW w:w="1010" w:type="dxa"/>
                        <w:tcBorders>
                          <w:left w:val="single" w:sz="16" w:space="0" w:color="000000"/>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-.704</w:t>
                        </w:r>
                      </w:p>
                    </w:tc>
                    <w:tc>
                      <w:tcPr>
                        <w:tcW w:w="1454" w:type="dxa"/>
                        <w:tcBorders>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.637</w:t>
                        </w:r>
                      </w:p>
                    </w:tc>
                    <w:tc>
                      <w:tcPr>
                        <w:tcW w:w="1169" w:type="dxa"/>
                        <w:vMerge w:val="restart"/>
                        <w:tcBorders>
                          <w:right w:val="single" w:sz="18" w:space="0" w:color="000000"/>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1</w:t>
                        </w:r>
                      </w:p>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w:t>
                        </w:r>
                      </w:p>
                    </w:tc>
                  </w:tr>
                  <w:tr w:rsidR="00953E5C" w:rsidRPr="00FF61DF" w:rsidTr="0057023C">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Sig. (2-tailed)</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.077</w:t>
                        </w:r>
                      </w:p>
                    </w:tc>
                    <w:tc>
                      <w:tcPr>
                        <w:tcW w:w="1454" w:type="dxa"/>
                        <w:tcBorders>
                          <w:top w:val="nil"/>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.124</w:t>
                        </w:r>
                      </w:p>
                    </w:tc>
                    <w:tc>
                      <w:tcPr>
                        <w:tcW w:w="1169" w:type="dxa"/>
                        <w:vMerge/>
                        <w:tcBorders>
                          <w:right w:val="single" w:sz="18" w:space="0" w:color="000000"/>
                        </w:tcBorders>
                        <w:shd w:val="clear" w:color="auto" w:fill="000000" w:themeFill="text1"/>
                        <w:tcMar>
                          <w:top w:w="30" w:type="dxa"/>
                          <w:left w:w="30" w:type="dxa"/>
                          <w:bottom w:w="30" w:type="dxa"/>
                          <w:right w:w="30" w:type="dxa"/>
                        </w:tcMar>
                        <w:vAlign w:val="center"/>
                      </w:tcPr>
                      <w:p w:rsidR="00953E5C" w:rsidRPr="00FF61DF" w:rsidRDefault="00953E5C" w:rsidP="0057023C">
                        <w:pPr>
                          <w:autoSpaceDE w:val="0"/>
                          <w:autoSpaceDN w:val="0"/>
                          <w:adjustRightInd w:val="0"/>
                          <w:spacing w:after="0" w:line="320" w:lineRule="atLeast"/>
                          <w:jc w:val="right"/>
                          <w:rPr>
                            <w:rFonts w:ascii="Times New Roman" w:hAnsi="Times New Roman" w:cs="Times New Roman"/>
                            <w:sz w:val="24"/>
                            <w:szCs w:val="24"/>
                          </w:rPr>
                        </w:pPr>
                      </w:p>
                    </w:tc>
                  </w:tr>
                  <w:tr w:rsidR="00953E5C" w:rsidRPr="00FF61DF" w:rsidTr="0057023C">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Times New Roman" w:hAnsi="Times New Roman" w:cs="Times New Roman"/>
                            <w:sz w:val="24"/>
                            <w:szCs w:val="24"/>
                          </w:rPr>
                        </w:pPr>
                      </w:p>
                    </w:tc>
                    <w:tc>
                      <w:tcPr>
                        <w:tcW w:w="19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N</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w:t>
                        </w:r>
                      </w:p>
                    </w:tc>
                    <w:tc>
                      <w:tcPr>
                        <w:tcW w:w="1454" w:type="dxa"/>
                        <w:tcBorders>
                          <w:top w:val="nil"/>
                          <w:bottom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7</w:t>
                        </w:r>
                      </w:p>
                    </w:tc>
                    <w:tc>
                      <w:tcPr>
                        <w:tcW w:w="1169" w:type="dxa"/>
                        <w:vMerge/>
                        <w:tcBorders>
                          <w:bottom w:val="single" w:sz="18" w:space="0" w:color="000000"/>
                          <w:right w:val="single" w:sz="18" w:space="0" w:color="000000"/>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p>
                    </w:tc>
                  </w:tr>
                  <w:tr w:rsidR="00953E5C" w:rsidRPr="00FF61DF" w:rsidTr="0057023C">
                    <w:trPr>
                      <w:cantSplit/>
                    </w:trPr>
                    <w:tc>
                      <w:tcPr>
                        <w:tcW w:w="7755" w:type="dxa"/>
                        <w:gridSpan w:val="5"/>
                        <w:tcBorders>
                          <w:top w:val="nil"/>
                          <w:left w:val="nil"/>
                          <w:bottom w:val="nil"/>
                          <w:right w:val="nil"/>
                        </w:tcBorders>
                        <w:shd w:val="clear" w:color="auto" w:fill="FFFFFF"/>
                        <w:tcMar>
                          <w:top w:w="30" w:type="dxa"/>
                          <w:left w:w="30" w:type="dxa"/>
                          <w:bottom w:w="30" w:type="dxa"/>
                          <w:right w:w="30" w:type="dxa"/>
                        </w:tcMar>
                      </w:tcPr>
                      <w:p w:rsidR="00953E5C" w:rsidRPr="00FF61DF" w:rsidRDefault="00953E5C" w:rsidP="0057023C">
                        <w:pPr>
                          <w:keepNext/>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a. Sex = Male</w:t>
                        </w:r>
                      </w:p>
                    </w:tc>
                  </w:tr>
                </w:tbl>
                <w:p w:rsidR="00953E5C" w:rsidRDefault="00953E5C" w:rsidP="00953E5C"/>
              </w:txbxContent>
            </v:textbox>
          </v:shape>
        </w:pict>
      </w:r>
    </w:p>
    <w:p w:rsidR="00953E5C" w:rsidRDefault="00953E5C" w:rsidP="00953E5C"/>
    <w:p w:rsidR="00953E5C" w:rsidRDefault="00953E5C" w:rsidP="00953E5C"/>
    <w:p w:rsidR="00953E5C" w:rsidRDefault="00953E5C" w:rsidP="00953E5C"/>
    <w:p w:rsidR="00953E5C" w:rsidRDefault="00953E5C" w:rsidP="00953E5C"/>
    <w:p w:rsidR="00953E5C" w:rsidRDefault="00953E5C" w:rsidP="00953E5C"/>
    <w:p w:rsidR="00953E5C" w:rsidRDefault="00953E5C" w:rsidP="00953E5C"/>
    <w:p w:rsidR="00953E5C" w:rsidRDefault="00953E5C" w:rsidP="00953E5C"/>
    <w:p w:rsidR="00953E5C" w:rsidRDefault="00953E5C" w:rsidP="00953E5C"/>
    <w:p w:rsidR="00953E5C" w:rsidRDefault="00953E5C" w:rsidP="00953E5C">
      <w:pPr>
        <w:pStyle w:val="Caption"/>
        <w:outlineLvl w:val="2"/>
      </w:pPr>
      <w:bookmarkStart w:id="23" w:name="_Toc216677182"/>
      <w:r>
        <w:t xml:space="preserve">Table 4: Pearson’s correlation for FPI, </w:t>
      </w:r>
      <w:proofErr w:type="spellStart"/>
      <w:r>
        <w:t>TotalDL</w:t>
      </w:r>
      <w:proofErr w:type="spellEnd"/>
      <w:r>
        <w:t xml:space="preserve"> and IR male participants with negative FPI</w:t>
      </w:r>
      <w:bookmarkEnd w:id="23"/>
      <w:r>
        <w:t xml:space="preserve"> </w:t>
      </w:r>
    </w:p>
    <w:p w:rsidR="00953E5C" w:rsidRDefault="00953E5C" w:rsidP="00953E5C">
      <w:pPr>
        <w:rPr>
          <w:rFonts w:cs="Times New Roman"/>
          <w:sz w:val="24"/>
          <w:szCs w:val="24"/>
        </w:rPr>
      </w:pPr>
      <w:r>
        <w:rPr>
          <w:rFonts w:cs="Times New Roman"/>
          <w:sz w:val="24"/>
          <w:szCs w:val="24"/>
        </w:rPr>
        <w:br w:type="page"/>
      </w:r>
    </w:p>
    <w:p w:rsidR="00953E5C" w:rsidRDefault="007A16A5" w:rsidP="00953E5C">
      <w:pPr>
        <w:autoSpaceDE w:val="0"/>
        <w:autoSpaceDN w:val="0"/>
        <w:adjustRightInd w:val="0"/>
        <w:spacing w:after="0" w:line="360" w:lineRule="auto"/>
        <w:rPr>
          <w:rFonts w:cs="Times New Roman"/>
          <w:sz w:val="24"/>
          <w:szCs w:val="24"/>
        </w:rPr>
      </w:pPr>
      <w:r>
        <w:rPr>
          <w:rFonts w:cs="Times New Roman"/>
          <w:noProof/>
          <w:sz w:val="24"/>
          <w:szCs w:val="24"/>
          <w:lang w:eastAsia="en-GB"/>
        </w:rPr>
        <w:lastRenderedPageBreak/>
        <w:pict>
          <v:shape id="_x0000_s1027" type="#_x0000_t202" style="position:absolute;margin-left:2.85pt;margin-top:2.25pt;width:446.25pt;height:192pt;z-index:251661312" strokecolor="white [3212]">
            <v:textbox style="mso-next-textbox:#_x0000_s1027">
              <w:txbxContent>
                <w:tbl>
                  <w:tblPr>
                    <w:tblW w:w="77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52"/>
                    <w:gridCol w:w="1970"/>
                    <w:gridCol w:w="1010"/>
                    <w:gridCol w:w="1454"/>
                    <w:gridCol w:w="1169"/>
                  </w:tblGrid>
                  <w:tr w:rsidR="00953E5C" w:rsidRPr="00FF61DF" w:rsidTr="0057023C">
                    <w:trPr>
                      <w:cantSplit/>
                      <w:tblHeader/>
                    </w:trPr>
                    <w:tc>
                      <w:tcPr>
                        <w:tcW w:w="7755" w:type="dxa"/>
                        <w:gridSpan w:val="5"/>
                        <w:tcBorders>
                          <w:top w:val="nil"/>
                          <w:left w:val="nil"/>
                          <w:bottom w:val="nil"/>
                          <w:right w:val="nil"/>
                        </w:tcBorders>
                        <w:shd w:val="clear" w:color="auto" w:fill="FFFFFF"/>
                        <w:tcMar>
                          <w:top w:w="30" w:type="dxa"/>
                          <w:left w:w="30" w:type="dxa"/>
                          <w:bottom w:w="30" w:type="dxa"/>
                          <w:right w:w="30" w:type="dxa"/>
                        </w:tcMar>
                        <w:vAlign w:val="center"/>
                      </w:tcPr>
                      <w:p w:rsidR="00953E5C" w:rsidRPr="00FF61DF" w:rsidRDefault="00953E5C" w:rsidP="00A03CAA">
                        <w:pPr>
                          <w:autoSpaceDE w:val="0"/>
                          <w:autoSpaceDN w:val="0"/>
                          <w:adjustRightInd w:val="0"/>
                          <w:spacing w:after="0" w:line="320" w:lineRule="atLeast"/>
                          <w:jc w:val="center"/>
                          <w:rPr>
                            <w:rFonts w:ascii="Arial" w:hAnsi="Arial" w:cs="Arial"/>
                            <w:color w:val="000000"/>
                            <w:sz w:val="18"/>
                            <w:szCs w:val="18"/>
                          </w:rPr>
                        </w:pPr>
                      </w:p>
                    </w:tc>
                  </w:tr>
                  <w:tr w:rsidR="00953E5C" w:rsidRPr="00FF61DF" w:rsidTr="0057023C">
                    <w:trPr>
                      <w:cantSplit/>
                      <w:tblHeader/>
                    </w:trPr>
                    <w:tc>
                      <w:tcPr>
                        <w:tcW w:w="215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Times New Roman" w:hAnsi="Times New Roman" w:cs="Times New Roman"/>
                            <w:sz w:val="24"/>
                            <w:szCs w:val="24"/>
                          </w:rPr>
                        </w:pPr>
                      </w:p>
                    </w:tc>
                    <w:tc>
                      <w:tcPr>
                        <w:tcW w:w="19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8" w:space="0" w:color="000000"/>
                        </w:tcBorders>
                        <w:shd w:val="clear" w:color="auto" w:fill="FFFFFF"/>
                        <w:tcMar>
                          <w:top w:w="30" w:type="dxa"/>
                          <w:left w:w="30" w:type="dxa"/>
                          <w:bottom w:w="30" w:type="dxa"/>
                          <w:right w:w="30" w:type="dxa"/>
                        </w:tcMar>
                        <w:vAlign w:val="bottom"/>
                      </w:tcPr>
                      <w:p w:rsidR="00953E5C" w:rsidRPr="00FF61DF" w:rsidRDefault="00953E5C" w:rsidP="0057023C">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FPI</w:t>
                        </w:r>
                      </w:p>
                    </w:tc>
                    <w:tc>
                      <w:tcPr>
                        <w:tcW w:w="145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FF61DF" w:rsidRDefault="00953E5C" w:rsidP="0057023C">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TOTALDL</w:t>
                        </w:r>
                      </w:p>
                    </w:tc>
                    <w:tc>
                      <w:tcPr>
                        <w:tcW w:w="11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FF61DF" w:rsidRDefault="00953E5C" w:rsidP="0057023C">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IR</w:t>
                        </w:r>
                      </w:p>
                    </w:tc>
                  </w:tr>
                  <w:tr w:rsidR="00953E5C" w:rsidRPr="00FF61DF" w:rsidTr="0057023C">
                    <w:trPr>
                      <w:cantSplit/>
                      <w:tblHeader/>
                    </w:trPr>
                    <w:tc>
                      <w:tcPr>
                        <w:tcW w:w="215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FPI</w:t>
                        </w:r>
                      </w:p>
                    </w:tc>
                    <w:tc>
                      <w:tcPr>
                        <w:tcW w:w="1970" w:type="dxa"/>
                        <w:tcBorders>
                          <w:top w:val="single" w:sz="16" w:space="0" w:color="000000"/>
                          <w:left w:val="nil"/>
                          <w:bottom w:val="nil"/>
                          <w:right w:val="single" w:sz="1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Pearson</w:t>
                        </w:r>
                        <w:r>
                          <w:rPr>
                            <w:rFonts w:ascii="Arial" w:hAnsi="Arial" w:cs="Arial"/>
                            <w:color w:val="000000"/>
                            <w:sz w:val="18"/>
                            <w:szCs w:val="18"/>
                          </w:rPr>
                          <w:t>’s</w:t>
                        </w:r>
                        <w:r w:rsidRPr="00FF61DF">
                          <w:rPr>
                            <w:rFonts w:ascii="Arial" w:hAnsi="Arial" w:cs="Arial"/>
                            <w:color w:val="000000"/>
                            <w:sz w:val="18"/>
                            <w:szCs w:val="18"/>
                          </w:rPr>
                          <w:t xml:space="preserve"> Correlation</w:t>
                        </w:r>
                      </w:p>
                    </w:tc>
                    <w:tc>
                      <w:tcPr>
                        <w:tcW w:w="1010" w:type="dxa"/>
                        <w:tcBorders>
                          <w:top w:val="single" w:sz="18" w:space="0" w:color="000000"/>
                          <w:left w:val="single" w:sz="18" w:space="0" w:color="000000"/>
                          <w:bottom w:val="nil"/>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1</w:t>
                        </w:r>
                      </w:p>
                    </w:tc>
                    <w:tc>
                      <w:tcPr>
                        <w:tcW w:w="1454" w:type="dxa"/>
                        <w:tcBorders>
                          <w:top w:val="single" w:sz="16" w:space="0" w:color="000000"/>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-.814</w:t>
                        </w:r>
                      </w:p>
                    </w:tc>
                    <w:tc>
                      <w:tcPr>
                        <w:tcW w:w="116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-.479</w:t>
                        </w:r>
                      </w:p>
                    </w:tc>
                  </w:tr>
                  <w:tr w:rsidR="00953E5C" w:rsidRPr="00FF61DF" w:rsidTr="0057023C">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Sig. (2-tailed)</w:t>
                        </w:r>
                      </w:p>
                    </w:tc>
                    <w:tc>
                      <w:tcPr>
                        <w:tcW w:w="1010" w:type="dxa"/>
                        <w:tcBorders>
                          <w:top w:val="nil"/>
                          <w:left w:val="single" w:sz="18" w:space="0" w:color="000000"/>
                          <w:bottom w:val="nil"/>
                        </w:tcBorders>
                        <w:shd w:val="clear" w:color="auto" w:fill="000000" w:themeFill="text1"/>
                        <w:tcMar>
                          <w:top w:w="30" w:type="dxa"/>
                          <w:left w:w="30" w:type="dxa"/>
                          <w:bottom w:w="30" w:type="dxa"/>
                          <w:right w:w="30" w:type="dxa"/>
                        </w:tcMar>
                        <w:vAlign w:val="center"/>
                      </w:tcPr>
                      <w:p w:rsidR="00953E5C" w:rsidRPr="00FF61DF" w:rsidRDefault="00953E5C" w:rsidP="0057023C">
                        <w:pPr>
                          <w:autoSpaceDE w:val="0"/>
                          <w:autoSpaceDN w:val="0"/>
                          <w:adjustRightInd w:val="0"/>
                          <w:spacing w:after="0" w:line="240" w:lineRule="auto"/>
                          <w:jc w:val="center"/>
                          <w:rPr>
                            <w:rFonts w:ascii="Times New Roman" w:hAnsi="Times New Roman" w:cs="Times New Roman"/>
                            <w:sz w:val="24"/>
                            <w:szCs w:val="24"/>
                          </w:rPr>
                        </w:pPr>
                      </w:p>
                    </w:tc>
                    <w:tc>
                      <w:tcPr>
                        <w:tcW w:w="1454" w:type="dxa"/>
                        <w:tcBorders>
                          <w:top w:val="nil"/>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.186</w:t>
                        </w:r>
                      </w:p>
                    </w:tc>
                    <w:tc>
                      <w:tcPr>
                        <w:tcW w:w="1169" w:type="dxa"/>
                        <w:tcBorders>
                          <w:top w:val="nil"/>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.521</w:t>
                        </w:r>
                      </w:p>
                    </w:tc>
                  </w:tr>
                  <w:tr w:rsidR="00953E5C" w:rsidRPr="00FF61DF" w:rsidTr="0057023C">
                    <w:trPr>
                      <w:cantSplit/>
                      <w:tblHeader/>
                    </w:trPr>
                    <w:tc>
                      <w:tcPr>
                        <w:tcW w:w="21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right w:val="single" w:sz="1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N</w:t>
                        </w:r>
                      </w:p>
                    </w:tc>
                    <w:tc>
                      <w:tcPr>
                        <w:tcW w:w="1010" w:type="dxa"/>
                        <w:tcBorders>
                          <w:top w:val="nil"/>
                          <w:left w:val="single" w:sz="18" w:space="0" w:color="000000"/>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w:t>
                        </w:r>
                      </w:p>
                    </w:tc>
                    <w:tc>
                      <w:tcPr>
                        <w:tcW w:w="1454" w:type="dxa"/>
                        <w:tcBorders>
                          <w:top w:val="nil"/>
                          <w:bottom w:val="single" w:sz="8"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w:t>
                        </w:r>
                      </w:p>
                    </w:tc>
                    <w:tc>
                      <w:tcPr>
                        <w:tcW w:w="1169" w:type="dxa"/>
                        <w:tcBorders>
                          <w:top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w:t>
                        </w:r>
                      </w:p>
                    </w:tc>
                  </w:tr>
                  <w:tr w:rsidR="00953E5C" w:rsidRPr="00FF61DF" w:rsidTr="0057023C">
                    <w:trPr>
                      <w:cantSplit/>
                      <w:tblHeader/>
                    </w:trPr>
                    <w:tc>
                      <w:tcPr>
                        <w:tcW w:w="215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IR</w:t>
                        </w:r>
                      </w:p>
                    </w:tc>
                    <w:tc>
                      <w:tcPr>
                        <w:tcW w:w="1970" w:type="dxa"/>
                        <w:tcBorders>
                          <w:left w:val="nil"/>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Pearson</w:t>
                        </w:r>
                        <w:r>
                          <w:rPr>
                            <w:rFonts w:ascii="Arial" w:hAnsi="Arial" w:cs="Arial"/>
                            <w:color w:val="000000"/>
                            <w:sz w:val="18"/>
                            <w:szCs w:val="18"/>
                          </w:rPr>
                          <w:t>’s</w:t>
                        </w:r>
                        <w:r w:rsidRPr="00FF61DF">
                          <w:rPr>
                            <w:rFonts w:ascii="Arial" w:hAnsi="Arial" w:cs="Arial"/>
                            <w:color w:val="000000"/>
                            <w:sz w:val="18"/>
                            <w:szCs w:val="18"/>
                          </w:rPr>
                          <w:t xml:space="preserve"> Correlation</w:t>
                        </w:r>
                      </w:p>
                    </w:tc>
                    <w:tc>
                      <w:tcPr>
                        <w:tcW w:w="1010" w:type="dxa"/>
                        <w:tcBorders>
                          <w:left w:val="single" w:sz="16" w:space="0" w:color="000000"/>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-.479</w:t>
                        </w:r>
                      </w:p>
                    </w:tc>
                    <w:tc>
                      <w:tcPr>
                        <w:tcW w:w="1454" w:type="dxa"/>
                        <w:tcBorders>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-.005</w:t>
                        </w:r>
                      </w:p>
                    </w:tc>
                    <w:tc>
                      <w:tcPr>
                        <w:tcW w:w="1169" w:type="dxa"/>
                        <w:vMerge w:val="restart"/>
                        <w:tcBorders>
                          <w:right w:val="single" w:sz="18" w:space="0" w:color="000000"/>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1</w:t>
                        </w:r>
                      </w:p>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w:t>
                        </w:r>
                      </w:p>
                    </w:tc>
                  </w:tr>
                  <w:tr w:rsidR="00953E5C" w:rsidRPr="00FF61DF" w:rsidTr="0057023C">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Arial" w:hAnsi="Arial" w:cs="Arial"/>
                            <w:color w:val="000000"/>
                            <w:sz w:val="18"/>
                            <w:szCs w:val="18"/>
                          </w:rPr>
                        </w:pPr>
                      </w:p>
                    </w:tc>
                    <w:tc>
                      <w:tcPr>
                        <w:tcW w:w="1970" w:type="dxa"/>
                        <w:tcBorders>
                          <w:top w:val="nil"/>
                          <w:left w:val="nil"/>
                          <w:bottom w:val="nil"/>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Sig. (2-tailed)</w:t>
                        </w:r>
                      </w:p>
                    </w:tc>
                    <w:tc>
                      <w:tcPr>
                        <w:tcW w:w="1010" w:type="dxa"/>
                        <w:tcBorders>
                          <w:top w:val="nil"/>
                          <w:left w:val="single" w:sz="16" w:space="0" w:color="000000"/>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.521</w:t>
                        </w:r>
                      </w:p>
                    </w:tc>
                    <w:tc>
                      <w:tcPr>
                        <w:tcW w:w="1454" w:type="dxa"/>
                        <w:tcBorders>
                          <w:top w:val="nil"/>
                          <w:bottom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.995</w:t>
                        </w:r>
                      </w:p>
                    </w:tc>
                    <w:tc>
                      <w:tcPr>
                        <w:tcW w:w="1169" w:type="dxa"/>
                        <w:vMerge/>
                        <w:tcBorders>
                          <w:right w:val="single" w:sz="18" w:space="0" w:color="000000"/>
                        </w:tcBorders>
                        <w:shd w:val="clear" w:color="auto" w:fill="000000" w:themeFill="text1"/>
                        <w:tcMar>
                          <w:top w:w="30" w:type="dxa"/>
                          <w:left w:w="30" w:type="dxa"/>
                          <w:bottom w:w="30" w:type="dxa"/>
                          <w:right w:w="30" w:type="dxa"/>
                        </w:tcMar>
                        <w:vAlign w:val="center"/>
                      </w:tcPr>
                      <w:p w:rsidR="00953E5C" w:rsidRPr="00FF61DF" w:rsidRDefault="00953E5C" w:rsidP="0057023C">
                        <w:pPr>
                          <w:autoSpaceDE w:val="0"/>
                          <w:autoSpaceDN w:val="0"/>
                          <w:adjustRightInd w:val="0"/>
                          <w:spacing w:after="0" w:line="320" w:lineRule="atLeast"/>
                          <w:jc w:val="right"/>
                          <w:rPr>
                            <w:rFonts w:ascii="Times New Roman" w:hAnsi="Times New Roman" w:cs="Times New Roman"/>
                            <w:sz w:val="24"/>
                            <w:szCs w:val="24"/>
                          </w:rPr>
                        </w:pPr>
                      </w:p>
                    </w:tc>
                  </w:tr>
                  <w:tr w:rsidR="00953E5C" w:rsidRPr="00FF61DF" w:rsidTr="0057023C">
                    <w:trPr>
                      <w:cantSplit/>
                      <w:tblHeader/>
                    </w:trPr>
                    <w:tc>
                      <w:tcPr>
                        <w:tcW w:w="21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240" w:lineRule="auto"/>
                          <w:rPr>
                            <w:rFonts w:ascii="Times New Roman" w:hAnsi="Times New Roman" w:cs="Times New Roman"/>
                            <w:sz w:val="24"/>
                            <w:szCs w:val="24"/>
                          </w:rPr>
                        </w:pPr>
                      </w:p>
                    </w:tc>
                    <w:tc>
                      <w:tcPr>
                        <w:tcW w:w="19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N</w:t>
                        </w:r>
                      </w:p>
                    </w:tc>
                    <w:tc>
                      <w:tcPr>
                        <w:tcW w:w="101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w:t>
                        </w:r>
                      </w:p>
                    </w:tc>
                    <w:tc>
                      <w:tcPr>
                        <w:tcW w:w="1454" w:type="dxa"/>
                        <w:tcBorders>
                          <w:top w:val="nil"/>
                          <w:bottom w:val="single" w:sz="16" w:space="0" w:color="000000"/>
                        </w:tcBorders>
                        <w:shd w:val="clear" w:color="auto" w:fill="FFFFFF"/>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r w:rsidRPr="00FF61DF">
                          <w:rPr>
                            <w:rFonts w:ascii="Arial" w:hAnsi="Arial" w:cs="Arial"/>
                            <w:color w:val="000000"/>
                            <w:sz w:val="18"/>
                            <w:szCs w:val="18"/>
                          </w:rPr>
                          <w:t>4</w:t>
                        </w:r>
                      </w:p>
                    </w:tc>
                    <w:tc>
                      <w:tcPr>
                        <w:tcW w:w="1169" w:type="dxa"/>
                        <w:vMerge/>
                        <w:tcBorders>
                          <w:bottom w:val="single" w:sz="18" w:space="0" w:color="000000"/>
                          <w:right w:val="single" w:sz="18" w:space="0" w:color="000000"/>
                        </w:tcBorders>
                        <w:shd w:val="clear" w:color="auto" w:fill="000000" w:themeFill="text1"/>
                        <w:tcMar>
                          <w:top w:w="30" w:type="dxa"/>
                          <w:left w:w="30" w:type="dxa"/>
                          <w:bottom w:w="30" w:type="dxa"/>
                          <w:right w:w="30" w:type="dxa"/>
                        </w:tcMar>
                      </w:tcPr>
                      <w:p w:rsidR="00953E5C" w:rsidRPr="00FF61DF" w:rsidRDefault="00953E5C" w:rsidP="0057023C">
                        <w:pPr>
                          <w:autoSpaceDE w:val="0"/>
                          <w:autoSpaceDN w:val="0"/>
                          <w:adjustRightInd w:val="0"/>
                          <w:spacing w:after="0" w:line="320" w:lineRule="atLeast"/>
                          <w:jc w:val="right"/>
                          <w:rPr>
                            <w:rFonts w:ascii="Arial" w:hAnsi="Arial" w:cs="Arial"/>
                            <w:color w:val="000000"/>
                            <w:sz w:val="18"/>
                            <w:szCs w:val="18"/>
                          </w:rPr>
                        </w:pPr>
                      </w:p>
                    </w:tc>
                  </w:tr>
                  <w:tr w:rsidR="00953E5C" w:rsidRPr="00FF61DF" w:rsidTr="0057023C">
                    <w:trPr>
                      <w:cantSplit/>
                    </w:trPr>
                    <w:tc>
                      <w:tcPr>
                        <w:tcW w:w="7755" w:type="dxa"/>
                        <w:gridSpan w:val="5"/>
                        <w:tcBorders>
                          <w:top w:val="nil"/>
                          <w:left w:val="nil"/>
                          <w:bottom w:val="nil"/>
                          <w:right w:val="nil"/>
                        </w:tcBorders>
                        <w:shd w:val="clear" w:color="auto" w:fill="FFFFFF"/>
                        <w:tcMar>
                          <w:top w:w="30" w:type="dxa"/>
                          <w:left w:w="30" w:type="dxa"/>
                          <w:bottom w:w="30" w:type="dxa"/>
                          <w:right w:w="30" w:type="dxa"/>
                        </w:tcMar>
                      </w:tcPr>
                      <w:p w:rsidR="00953E5C" w:rsidRPr="00FF61DF" w:rsidRDefault="00953E5C" w:rsidP="0057023C">
                        <w:pPr>
                          <w:keepNext/>
                          <w:autoSpaceDE w:val="0"/>
                          <w:autoSpaceDN w:val="0"/>
                          <w:adjustRightInd w:val="0"/>
                          <w:spacing w:after="0" w:line="320" w:lineRule="atLeast"/>
                          <w:rPr>
                            <w:rFonts w:ascii="Arial" w:hAnsi="Arial" w:cs="Arial"/>
                            <w:color w:val="000000"/>
                            <w:sz w:val="18"/>
                            <w:szCs w:val="18"/>
                          </w:rPr>
                        </w:pPr>
                        <w:r w:rsidRPr="00FF61DF">
                          <w:rPr>
                            <w:rFonts w:ascii="Arial" w:hAnsi="Arial" w:cs="Arial"/>
                            <w:color w:val="000000"/>
                            <w:sz w:val="18"/>
                            <w:szCs w:val="18"/>
                          </w:rPr>
                          <w:t>a. Sex = Female</w:t>
                        </w:r>
                      </w:p>
                    </w:tc>
                  </w:tr>
                </w:tbl>
                <w:p w:rsidR="00953E5C" w:rsidRDefault="00953E5C" w:rsidP="00953E5C"/>
              </w:txbxContent>
            </v:textbox>
          </v:shape>
        </w:pict>
      </w: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Default="00953E5C" w:rsidP="00953E5C">
      <w:pPr>
        <w:autoSpaceDE w:val="0"/>
        <w:autoSpaceDN w:val="0"/>
        <w:adjustRightInd w:val="0"/>
        <w:spacing w:after="0" w:line="360" w:lineRule="auto"/>
        <w:rPr>
          <w:rFonts w:cs="Times New Roman"/>
          <w:sz w:val="24"/>
          <w:szCs w:val="24"/>
        </w:rPr>
      </w:pPr>
    </w:p>
    <w:p w:rsidR="00953E5C" w:rsidRPr="00FF61DF" w:rsidRDefault="00953E5C" w:rsidP="00953E5C">
      <w:pPr>
        <w:pStyle w:val="Caption"/>
        <w:outlineLvl w:val="2"/>
        <w:rPr>
          <w:rFonts w:ascii="Times New Roman" w:hAnsi="Times New Roman" w:cs="Times New Roman"/>
          <w:sz w:val="24"/>
          <w:szCs w:val="24"/>
        </w:rPr>
      </w:pPr>
      <w:bookmarkStart w:id="24" w:name="_Toc216677183"/>
      <w:r>
        <w:t xml:space="preserve">Table 5: </w:t>
      </w:r>
      <w:r w:rsidRPr="00B05C2F">
        <w:t>Pearson</w:t>
      </w:r>
      <w:r>
        <w:t>’s</w:t>
      </w:r>
      <w:r w:rsidRPr="00B05C2F">
        <w:t xml:space="preserve"> correlation for FPI, TOTALDL and IR female participants </w:t>
      </w:r>
      <w:r>
        <w:t>with negative</w:t>
      </w:r>
      <w:r w:rsidRPr="00B05C2F">
        <w:t xml:space="preserve"> FPI</w:t>
      </w:r>
      <w:bookmarkEnd w:id="24"/>
      <w:r w:rsidRPr="00B05C2F">
        <w:t xml:space="preserve"> </w:t>
      </w:r>
    </w:p>
    <w:p w:rsidR="00953E5C" w:rsidRDefault="00953E5C" w:rsidP="00953E5C">
      <w:pPr>
        <w:pStyle w:val="Heading3"/>
      </w:pPr>
    </w:p>
    <w:p w:rsidR="00953E5C" w:rsidRDefault="00953E5C" w:rsidP="00953E5C">
      <w:pPr>
        <w:pStyle w:val="Heading3"/>
      </w:pPr>
      <w:bookmarkStart w:id="25" w:name="_Toc216677184"/>
      <w:r>
        <w:t>Regression analysis</w:t>
      </w:r>
      <w:bookmarkEnd w:id="25"/>
      <w:r>
        <w:t xml:space="preserve"> </w:t>
      </w:r>
    </w:p>
    <w:tbl>
      <w:tblPr>
        <w:tblW w:w="802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021"/>
      </w:tblGrid>
      <w:tr w:rsidR="00953E5C" w:rsidRPr="00CD3581" w:rsidTr="009831C9">
        <w:trPr>
          <w:cantSplit/>
          <w:tblHeader/>
        </w:trPr>
        <w:tc>
          <w:tcPr>
            <w:tcW w:w="8021" w:type="dxa"/>
            <w:tcBorders>
              <w:top w:val="nil"/>
              <w:left w:val="nil"/>
              <w:bottom w:val="nil"/>
              <w:right w:val="nil"/>
            </w:tcBorders>
            <w:shd w:val="clear" w:color="auto" w:fill="FFFFFF"/>
            <w:tcMar>
              <w:top w:w="30" w:type="dxa"/>
              <w:left w:w="30" w:type="dxa"/>
              <w:bottom w:w="30" w:type="dxa"/>
              <w:right w:w="30" w:type="dxa"/>
            </w:tcMar>
            <w:vAlign w:val="center"/>
          </w:tcPr>
          <w:p w:rsidR="00953E5C" w:rsidRDefault="00953E5C" w:rsidP="009831C9">
            <w:pPr>
              <w:pStyle w:val="NoSpacing"/>
            </w:pPr>
          </w:p>
          <w:p w:rsidR="00953E5C" w:rsidRDefault="007A16A5" w:rsidP="009831C9">
            <w:pPr>
              <w:spacing w:line="360" w:lineRule="auto"/>
              <w:rPr>
                <w:sz w:val="24"/>
                <w:szCs w:val="24"/>
              </w:rPr>
            </w:pPr>
            <w:r w:rsidRPr="007A16A5">
              <w:rPr>
                <w:rFonts w:ascii="Arial" w:hAnsi="Arial" w:cs="Arial"/>
                <w:noProof/>
                <w:color w:val="000000"/>
                <w:sz w:val="18"/>
                <w:szCs w:val="18"/>
                <w:lang w:eastAsia="en-GB"/>
              </w:rPr>
              <w:pict>
                <v:shape id="_x0000_s1028" type="#_x0000_t202" style="position:absolute;margin-left:-5.4pt;margin-top:52.15pt;width:411.75pt;height:190pt;z-index:251662336" strokecolor="white [3212]">
                  <v:textbox style="mso-next-textbox:#_x0000_s1028">
                    <w:txbxContent>
                      <w:p w:rsidR="00953E5C" w:rsidRDefault="00953E5C" w:rsidP="00953E5C">
                        <w:pPr>
                          <w:rPr>
                            <w:rFonts w:ascii="Arial" w:hAnsi="Arial" w:cs="Arial"/>
                            <w:b/>
                            <w:bCs/>
                            <w:color w:val="000000"/>
                            <w:sz w:val="18"/>
                            <w:szCs w:val="18"/>
                            <w:vertAlign w:val="superscript"/>
                          </w:rPr>
                        </w:pPr>
                        <w:r w:rsidRPr="00CD3581">
                          <w:rPr>
                            <w:rFonts w:ascii="Arial" w:hAnsi="Arial" w:cs="Arial"/>
                            <w:b/>
                            <w:bCs/>
                            <w:color w:val="000000"/>
                            <w:sz w:val="18"/>
                            <w:szCs w:val="18"/>
                          </w:rPr>
                          <w:t xml:space="preserve">Model Summary and Parameter </w:t>
                        </w:r>
                        <w:proofErr w:type="spellStart"/>
                        <w:r w:rsidRPr="00CD3581">
                          <w:rPr>
                            <w:rFonts w:ascii="Arial" w:hAnsi="Arial" w:cs="Arial"/>
                            <w:b/>
                            <w:bCs/>
                            <w:color w:val="000000"/>
                            <w:sz w:val="18"/>
                            <w:szCs w:val="18"/>
                          </w:rPr>
                          <w:t>Estimates</w:t>
                        </w:r>
                        <w:r w:rsidRPr="00CD3581">
                          <w:rPr>
                            <w:rFonts w:ascii="Arial" w:hAnsi="Arial" w:cs="Arial"/>
                            <w:b/>
                            <w:bCs/>
                            <w:color w:val="000000"/>
                            <w:sz w:val="18"/>
                            <w:szCs w:val="18"/>
                            <w:vertAlign w:val="superscript"/>
                          </w:rPr>
                          <w:t>a</w:t>
                        </w:r>
                        <w:proofErr w:type="spellEnd"/>
                      </w:p>
                      <w:p w:rsidR="00953E5C" w:rsidRDefault="00953E5C" w:rsidP="00953E5C">
                        <w:r w:rsidRPr="00CD3581">
                          <w:rPr>
                            <w:rFonts w:ascii="Arial" w:hAnsi="Arial" w:cs="Arial"/>
                            <w:color w:val="000000"/>
                            <w:sz w:val="18"/>
                            <w:szCs w:val="18"/>
                          </w:rPr>
                          <w:t xml:space="preserve">Dependent </w:t>
                        </w:r>
                        <w:proofErr w:type="spellStart"/>
                        <w:r w:rsidRPr="00CD3581">
                          <w:rPr>
                            <w:rFonts w:ascii="Arial" w:hAnsi="Arial" w:cs="Arial"/>
                            <w:color w:val="000000"/>
                            <w:sz w:val="18"/>
                            <w:szCs w:val="18"/>
                          </w:rPr>
                          <w:t>Variable</w:t>
                        </w:r>
                        <w:proofErr w:type="gramStart"/>
                        <w:r w:rsidRPr="00CD3581">
                          <w:rPr>
                            <w:rFonts w:ascii="Arial" w:hAnsi="Arial" w:cs="Arial"/>
                            <w:color w:val="000000"/>
                            <w:sz w:val="18"/>
                            <w:szCs w:val="18"/>
                          </w:rPr>
                          <w:t>:Total</w:t>
                        </w:r>
                        <w:proofErr w:type="spellEnd"/>
                        <w:proofErr w:type="gramEnd"/>
                        <w:r w:rsidRPr="00CD3581">
                          <w:rPr>
                            <w:rFonts w:ascii="Arial" w:hAnsi="Arial" w:cs="Arial"/>
                            <w:color w:val="000000"/>
                            <w:sz w:val="18"/>
                            <w:szCs w:val="18"/>
                          </w:rPr>
                          <w:t xml:space="preserve"> days training lost</w:t>
                        </w:r>
                      </w:p>
                      <w:tbl>
                        <w:tblPr>
                          <w:tblW w:w="802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078"/>
                          <w:gridCol w:w="1009"/>
                          <w:gridCol w:w="1011"/>
                          <w:gridCol w:w="1011"/>
                          <w:gridCol w:w="1011"/>
                          <w:gridCol w:w="1049"/>
                          <w:gridCol w:w="1036"/>
                        </w:tblGrid>
                        <w:tr w:rsidR="00953E5C" w:rsidRPr="00CD3581" w:rsidTr="0057023C">
                          <w:trPr>
                            <w:cantSplit/>
                            <w:tblHeader/>
                          </w:trPr>
                          <w:tc>
                            <w:tcPr>
                              <w:tcW w:w="8021" w:type="dxa"/>
                              <w:gridSpan w:val="8"/>
                              <w:tcBorders>
                                <w:top w:val="nil"/>
                                <w:left w:val="nil"/>
                                <w:bottom w:val="nil"/>
                                <w:right w:val="nil"/>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rPr>
                                  <w:rFonts w:ascii="Arial" w:hAnsi="Arial" w:cs="Arial"/>
                                  <w:color w:val="000000"/>
                                  <w:sz w:val="18"/>
                                  <w:szCs w:val="18"/>
                                </w:rPr>
                              </w:pPr>
                            </w:p>
                          </w:tc>
                        </w:tr>
                        <w:tr w:rsidR="00953E5C" w:rsidRPr="00CD3581" w:rsidTr="0057023C">
                          <w:trPr>
                            <w:cantSplit/>
                            <w:tblHeader/>
                          </w:trPr>
                          <w:tc>
                            <w:tcPr>
                              <w:tcW w:w="81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rPr>
                                  <w:rFonts w:ascii="Arial" w:hAnsi="Arial" w:cs="Arial"/>
                                  <w:color w:val="000000"/>
                                  <w:sz w:val="18"/>
                                  <w:szCs w:val="18"/>
                                </w:rPr>
                              </w:pPr>
                              <w:r w:rsidRPr="00CD3581">
                                <w:rPr>
                                  <w:rFonts w:ascii="Arial" w:hAnsi="Arial" w:cs="Arial"/>
                                  <w:color w:val="000000"/>
                                  <w:sz w:val="18"/>
                                  <w:szCs w:val="18"/>
                                </w:rPr>
                                <w:t>Equation</w:t>
                              </w:r>
                            </w:p>
                          </w:tc>
                          <w:tc>
                            <w:tcPr>
                              <w:tcW w:w="5120"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Model Summary</w:t>
                              </w:r>
                            </w:p>
                          </w:tc>
                          <w:tc>
                            <w:tcPr>
                              <w:tcW w:w="208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Parameter Estimates</w:t>
                              </w:r>
                            </w:p>
                          </w:tc>
                        </w:tr>
                        <w:tr w:rsidR="00953E5C" w:rsidRPr="00CD3581" w:rsidTr="0057023C">
                          <w:trPr>
                            <w:cantSplit/>
                            <w:tblHeader/>
                          </w:trPr>
                          <w:tc>
                            <w:tcPr>
                              <w:tcW w:w="81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240" w:lineRule="auto"/>
                                <w:rPr>
                                  <w:rFonts w:ascii="Arial" w:hAnsi="Arial" w:cs="Arial"/>
                                  <w:color w:val="000000"/>
                                  <w:sz w:val="18"/>
                                  <w:szCs w:val="18"/>
                                </w:rPr>
                              </w:pPr>
                            </w:p>
                          </w:tc>
                          <w:tc>
                            <w:tcPr>
                              <w:tcW w:w="107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R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F</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df1</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df2</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Sig.</w:t>
                              </w:r>
                            </w:p>
                          </w:tc>
                          <w:tc>
                            <w:tcPr>
                              <w:tcW w:w="1049" w:type="dxa"/>
                              <w:tcBorders>
                                <w:bottom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Constant</w:t>
                              </w:r>
                            </w:p>
                          </w:tc>
                          <w:tc>
                            <w:tcPr>
                              <w:tcW w:w="103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CD3581" w:rsidRDefault="00953E5C" w:rsidP="0057023C">
                              <w:pPr>
                                <w:autoSpaceDE w:val="0"/>
                                <w:autoSpaceDN w:val="0"/>
                                <w:adjustRightInd w:val="0"/>
                                <w:spacing w:after="0" w:line="320" w:lineRule="atLeast"/>
                                <w:jc w:val="center"/>
                                <w:rPr>
                                  <w:rFonts w:ascii="Arial" w:hAnsi="Arial" w:cs="Arial"/>
                                  <w:color w:val="000000"/>
                                  <w:sz w:val="18"/>
                                  <w:szCs w:val="18"/>
                                </w:rPr>
                              </w:pPr>
                              <w:r w:rsidRPr="00CD3581">
                                <w:rPr>
                                  <w:rFonts w:ascii="Arial" w:hAnsi="Arial" w:cs="Arial"/>
                                  <w:color w:val="000000"/>
                                  <w:sz w:val="18"/>
                                  <w:szCs w:val="18"/>
                                </w:rPr>
                                <w:t>b1</w:t>
                              </w:r>
                            </w:p>
                          </w:tc>
                        </w:tr>
                        <w:tr w:rsidR="00953E5C" w:rsidRPr="00CD3581" w:rsidTr="0057023C">
                          <w:trPr>
                            <w:cantSplit/>
                            <w:tblHeader/>
                          </w:trPr>
                          <w:tc>
                            <w:tcPr>
                              <w:tcW w:w="81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rPr>
                                  <w:rFonts w:ascii="Arial" w:hAnsi="Arial" w:cs="Arial"/>
                                  <w:color w:val="000000"/>
                                  <w:sz w:val="18"/>
                                  <w:szCs w:val="18"/>
                                </w:rPr>
                              </w:pPr>
                              <w:r w:rsidRPr="00CD3581">
                                <w:rPr>
                                  <w:rFonts w:ascii="Arial" w:hAnsi="Arial" w:cs="Arial"/>
                                  <w:color w:val="000000"/>
                                  <w:sz w:val="18"/>
                                  <w:szCs w:val="18"/>
                                </w:rPr>
                                <w:t>Linear</w:t>
                              </w:r>
                            </w:p>
                          </w:tc>
                          <w:tc>
                            <w:tcPr>
                              <w:tcW w:w="107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jc w:val="right"/>
                                <w:rPr>
                                  <w:rFonts w:ascii="Arial" w:hAnsi="Arial" w:cs="Arial"/>
                                  <w:color w:val="000000"/>
                                  <w:sz w:val="18"/>
                                  <w:szCs w:val="18"/>
                                </w:rPr>
                              </w:pPr>
                              <w:r w:rsidRPr="00CD3581">
                                <w:rPr>
                                  <w:rFonts w:ascii="Arial" w:hAnsi="Arial" w:cs="Arial"/>
                                  <w:color w:val="000000"/>
                                  <w:sz w:val="18"/>
                                  <w:szCs w:val="18"/>
                                </w:rPr>
                                <w:t>.556</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jc w:val="right"/>
                                <w:rPr>
                                  <w:rFonts w:ascii="Arial" w:hAnsi="Arial" w:cs="Arial"/>
                                  <w:color w:val="000000"/>
                                  <w:sz w:val="18"/>
                                  <w:szCs w:val="18"/>
                                </w:rPr>
                              </w:pPr>
                              <w:r w:rsidRPr="00CD3581">
                                <w:rPr>
                                  <w:rFonts w:ascii="Arial" w:hAnsi="Arial" w:cs="Arial"/>
                                  <w:color w:val="000000"/>
                                  <w:sz w:val="18"/>
                                  <w:szCs w:val="18"/>
                                </w:rPr>
                                <w:t>51.417</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jc w:val="right"/>
                                <w:rPr>
                                  <w:rFonts w:ascii="Arial" w:hAnsi="Arial" w:cs="Arial"/>
                                  <w:color w:val="000000"/>
                                  <w:sz w:val="18"/>
                                  <w:szCs w:val="18"/>
                                </w:rPr>
                              </w:pPr>
                              <w:r w:rsidRPr="00CD3581">
                                <w:rPr>
                                  <w:rFonts w:ascii="Arial" w:hAnsi="Arial" w:cs="Arial"/>
                                  <w:color w:val="000000"/>
                                  <w:sz w:val="18"/>
                                  <w:szCs w:val="18"/>
                                </w:rPr>
                                <w:t>1</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jc w:val="right"/>
                                <w:rPr>
                                  <w:rFonts w:ascii="Arial" w:hAnsi="Arial" w:cs="Arial"/>
                                  <w:color w:val="000000"/>
                                  <w:sz w:val="18"/>
                                  <w:szCs w:val="18"/>
                                </w:rPr>
                              </w:pPr>
                              <w:r w:rsidRPr="00CD3581">
                                <w:rPr>
                                  <w:rFonts w:ascii="Arial" w:hAnsi="Arial" w:cs="Arial"/>
                                  <w:color w:val="000000"/>
                                  <w:sz w:val="18"/>
                                  <w:szCs w:val="18"/>
                                </w:rPr>
                                <w:t>41</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jc w:val="right"/>
                                <w:rPr>
                                  <w:rFonts w:ascii="Arial" w:hAnsi="Arial" w:cs="Arial"/>
                                  <w:color w:val="000000"/>
                                  <w:sz w:val="18"/>
                                  <w:szCs w:val="18"/>
                                </w:rPr>
                              </w:pPr>
                              <w:r w:rsidRPr="00CD3581">
                                <w:rPr>
                                  <w:rFonts w:ascii="Arial" w:hAnsi="Arial" w:cs="Arial"/>
                                  <w:color w:val="000000"/>
                                  <w:sz w:val="18"/>
                                  <w:szCs w:val="18"/>
                                </w:rPr>
                                <w:t>.000</w:t>
                              </w:r>
                            </w:p>
                          </w:tc>
                          <w:tc>
                            <w:tcPr>
                              <w:tcW w:w="1049"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jc w:val="right"/>
                                <w:rPr>
                                  <w:rFonts w:ascii="Arial" w:hAnsi="Arial" w:cs="Arial"/>
                                  <w:color w:val="000000"/>
                                  <w:sz w:val="18"/>
                                  <w:szCs w:val="18"/>
                                </w:rPr>
                              </w:pPr>
                              <w:r w:rsidRPr="00CD3581">
                                <w:rPr>
                                  <w:rFonts w:ascii="Arial" w:hAnsi="Arial" w:cs="Arial"/>
                                  <w:color w:val="000000"/>
                                  <w:sz w:val="18"/>
                                  <w:szCs w:val="18"/>
                                </w:rPr>
                                <w:t>-.870</w:t>
                              </w:r>
                            </w:p>
                          </w:tc>
                          <w:tc>
                            <w:tcPr>
                              <w:tcW w:w="103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CD3581" w:rsidRDefault="00953E5C" w:rsidP="0057023C">
                              <w:pPr>
                                <w:autoSpaceDE w:val="0"/>
                                <w:autoSpaceDN w:val="0"/>
                                <w:adjustRightInd w:val="0"/>
                                <w:spacing w:after="0" w:line="320" w:lineRule="atLeast"/>
                                <w:jc w:val="right"/>
                                <w:rPr>
                                  <w:rFonts w:ascii="Arial" w:hAnsi="Arial" w:cs="Arial"/>
                                  <w:color w:val="000000"/>
                                  <w:sz w:val="18"/>
                                  <w:szCs w:val="18"/>
                                </w:rPr>
                              </w:pPr>
                              <w:r w:rsidRPr="00CD3581">
                                <w:rPr>
                                  <w:rFonts w:ascii="Arial" w:hAnsi="Arial" w:cs="Arial"/>
                                  <w:color w:val="000000"/>
                                  <w:sz w:val="18"/>
                                  <w:szCs w:val="18"/>
                                </w:rPr>
                                <w:t>1.517</w:t>
                              </w:r>
                            </w:p>
                          </w:tc>
                        </w:tr>
                        <w:tr w:rsidR="00953E5C" w:rsidRPr="00CD3581" w:rsidTr="0057023C">
                          <w:trPr>
                            <w:cantSplit/>
                            <w:tblHeader/>
                          </w:trPr>
                          <w:tc>
                            <w:tcPr>
                              <w:tcW w:w="8021" w:type="dxa"/>
                              <w:gridSpan w:val="8"/>
                              <w:tcBorders>
                                <w:top w:val="nil"/>
                                <w:left w:val="nil"/>
                                <w:bottom w:val="nil"/>
                                <w:right w:val="nil"/>
                              </w:tcBorders>
                              <w:shd w:val="clear" w:color="auto" w:fill="FFFFFF"/>
                              <w:tcMar>
                                <w:top w:w="30" w:type="dxa"/>
                                <w:left w:w="30" w:type="dxa"/>
                                <w:bottom w:w="30" w:type="dxa"/>
                                <w:right w:w="30" w:type="dxa"/>
                              </w:tcMar>
                            </w:tcPr>
                            <w:p w:rsidR="00953E5C" w:rsidRPr="00CD3581" w:rsidRDefault="00953E5C" w:rsidP="00A03CAA">
                              <w:pPr>
                                <w:autoSpaceDE w:val="0"/>
                                <w:autoSpaceDN w:val="0"/>
                                <w:adjustRightInd w:val="0"/>
                                <w:spacing w:after="0" w:line="320" w:lineRule="atLeast"/>
                                <w:rPr>
                                  <w:rFonts w:ascii="Arial" w:hAnsi="Arial" w:cs="Arial"/>
                                  <w:color w:val="000000"/>
                                  <w:sz w:val="18"/>
                                  <w:szCs w:val="18"/>
                                </w:rPr>
                              </w:pPr>
                              <w:r w:rsidRPr="00CD3581">
                                <w:rPr>
                                  <w:rFonts w:ascii="Arial" w:hAnsi="Arial" w:cs="Arial"/>
                                  <w:color w:val="000000"/>
                                  <w:sz w:val="18"/>
                                  <w:szCs w:val="18"/>
                                </w:rPr>
                                <w:t xml:space="preserve">The independent variable is </w:t>
                              </w:r>
                              <w:r>
                                <w:rPr>
                                  <w:rFonts w:ascii="Arial" w:hAnsi="Arial" w:cs="Arial"/>
                                  <w:color w:val="000000"/>
                                  <w:sz w:val="18"/>
                                  <w:szCs w:val="18"/>
                                </w:rPr>
                                <w:t>FPI</w:t>
                              </w:r>
                              <w:r w:rsidRPr="00CD3581">
                                <w:rPr>
                                  <w:rFonts w:ascii="Arial" w:hAnsi="Arial" w:cs="Arial"/>
                                  <w:color w:val="000000"/>
                                  <w:sz w:val="18"/>
                                  <w:szCs w:val="18"/>
                                </w:rPr>
                                <w:t>.</w:t>
                              </w:r>
                            </w:p>
                          </w:tc>
                        </w:tr>
                      </w:tbl>
                      <w:p w:rsidR="00953E5C" w:rsidRDefault="00953E5C" w:rsidP="00953E5C">
                        <w:r w:rsidRPr="00CD3581">
                          <w:rPr>
                            <w:rFonts w:ascii="Arial" w:hAnsi="Arial" w:cs="Arial"/>
                            <w:color w:val="000000"/>
                            <w:sz w:val="18"/>
                            <w:szCs w:val="18"/>
                          </w:rPr>
                          <w:t>a. Sex = Male</w:t>
                        </w:r>
                      </w:p>
                    </w:txbxContent>
                  </v:textbox>
                </v:shape>
              </w:pict>
            </w:r>
            <w:r w:rsidR="00953E5C" w:rsidRPr="00EB71A8">
              <w:rPr>
                <w:sz w:val="24"/>
                <w:szCs w:val="24"/>
              </w:rPr>
              <w:t xml:space="preserve">Linear regression was carried out on the positive FPI set and the negative FPI set. Logarithmic and quadratic regression was carried out on the complete data set. </w:t>
            </w:r>
          </w:p>
          <w:p w:rsidR="00953E5C" w:rsidRDefault="00953E5C" w:rsidP="009831C9">
            <w:pPr>
              <w:spacing w:line="360" w:lineRule="auto"/>
              <w:rPr>
                <w:sz w:val="24"/>
                <w:szCs w:val="24"/>
              </w:rPr>
            </w:pPr>
          </w:p>
          <w:p w:rsidR="00953E5C" w:rsidRDefault="00953E5C" w:rsidP="009831C9">
            <w:pPr>
              <w:spacing w:line="360" w:lineRule="auto"/>
              <w:rPr>
                <w:sz w:val="24"/>
                <w:szCs w:val="24"/>
              </w:rPr>
            </w:pPr>
          </w:p>
          <w:p w:rsidR="00953E5C" w:rsidRDefault="00953E5C" w:rsidP="009831C9">
            <w:pPr>
              <w:spacing w:line="360" w:lineRule="auto"/>
              <w:rPr>
                <w:sz w:val="24"/>
                <w:szCs w:val="24"/>
              </w:rPr>
            </w:pPr>
          </w:p>
          <w:p w:rsidR="00953E5C" w:rsidRPr="00EB71A8" w:rsidRDefault="00953E5C" w:rsidP="009831C9">
            <w:pPr>
              <w:spacing w:line="360" w:lineRule="auto"/>
              <w:rPr>
                <w:sz w:val="24"/>
                <w:szCs w:val="24"/>
              </w:rPr>
            </w:pPr>
          </w:p>
          <w:p w:rsidR="00953E5C" w:rsidRPr="00CD3581" w:rsidRDefault="00953E5C" w:rsidP="009831C9">
            <w:pPr>
              <w:autoSpaceDE w:val="0"/>
              <w:autoSpaceDN w:val="0"/>
              <w:adjustRightInd w:val="0"/>
              <w:spacing w:after="0" w:line="320" w:lineRule="atLeast"/>
              <w:jc w:val="center"/>
              <w:rPr>
                <w:rFonts w:ascii="Arial" w:hAnsi="Arial" w:cs="Arial"/>
                <w:color w:val="000000"/>
                <w:sz w:val="18"/>
                <w:szCs w:val="18"/>
              </w:rPr>
            </w:pPr>
          </w:p>
        </w:tc>
      </w:tr>
      <w:tr w:rsidR="00953E5C" w:rsidRPr="00CD3581" w:rsidTr="009831C9">
        <w:trPr>
          <w:cantSplit/>
          <w:trHeight w:val="1800"/>
        </w:trPr>
        <w:tc>
          <w:tcPr>
            <w:tcW w:w="8021" w:type="dxa"/>
            <w:tcBorders>
              <w:top w:val="nil"/>
              <w:left w:val="nil"/>
              <w:bottom w:val="nil"/>
              <w:right w:val="nil"/>
            </w:tcBorders>
            <w:shd w:val="clear" w:color="auto" w:fill="FFFFFF"/>
            <w:tcMar>
              <w:top w:w="30" w:type="dxa"/>
              <w:left w:w="30" w:type="dxa"/>
              <w:bottom w:w="30" w:type="dxa"/>
              <w:right w:w="30" w:type="dxa"/>
            </w:tcMar>
          </w:tcPr>
          <w:p w:rsidR="00953E5C" w:rsidRPr="00CD3581" w:rsidRDefault="00953E5C" w:rsidP="009831C9">
            <w:pPr>
              <w:autoSpaceDE w:val="0"/>
              <w:autoSpaceDN w:val="0"/>
              <w:adjustRightInd w:val="0"/>
              <w:spacing w:after="0" w:line="320" w:lineRule="atLeast"/>
              <w:rPr>
                <w:rFonts w:ascii="Arial" w:hAnsi="Arial" w:cs="Arial"/>
                <w:color w:val="000000"/>
                <w:sz w:val="18"/>
                <w:szCs w:val="18"/>
              </w:rPr>
            </w:pPr>
          </w:p>
        </w:tc>
      </w:tr>
    </w:tbl>
    <w:p w:rsidR="00953E5C" w:rsidRDefault="00953E5C" w:rsidP="00953E5C">
      <w:pPr>
        <w:keepNext/>
        <w:autoSpaceDE w:val="0"/>
        <w:autoSpaceDN w:val="0"/>
        <w:adjustRightInd w:val="0"/>
        <w:spacing w:after="0" w:line="400" w:lineRule="atLeast"/>
      </w:pPr>
      <w:r>
        <w:rPr>
          <w:rFonts w:ascii="Times New Roman" w:hAnsi="Times New Roman" w:cs="Times New Roman"/>
          <w:noProof/>
          <w:sz w:val="24"/>
          <w:szCs w:val="24"/>
          <w:lang w:eastAsia="en-GB"/>
        </w:rPr>
        <w:lastRenderedPageBreak/>
        <w:drawing>
          <wp:inline distT="0" distB="0" distL="0" distR="0">
            <wp:extent cx="4777741" cy="3831265"/>
            <wp:effectExtent l="19050" t="0" r="3809"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cstate="print"/>
                    <a:srcRect/>
                    <a:stretch>
                      <a:fillRect/>
                    </a:stretch>
                  </pic:blipFill>
                  <pic:spPr bwMode="auto">
                    <a:xfrm>
                      <a:off x="0" y="0"/>
                      <a:ext cx="4777741" cy="3831265"/>
                    </a:xfrm>
                    <a:prstGeom prst="rect">
                      <a:avLst/>
                    </a:prstGeom>
                    <a:noFill/>
                    <a:ln w="9525">
                      <a:noFill/>
                      <a:miter lim="800000"/>
                      <a:headEnd/>
                      <a:tailEnd/>
                    </a:ln>
                  </pic:spPr>
                </pic:pic>
              </a:graphicData>
            </a:graphic>
          </wp:inline>
        </w:drawing>
      </w:r>
    </w:p>
    <w:p w:rsidR="00953E5C" w:rsidRPr="00A24B36" w:rsidRDefault="00953E5C" w:rsidP="00953E5C">
      <w:pPr>
        <w:pStyle w:val="Heading3"/>
        <w:rPr>
          <w:rFonts w:asciiTheme="minorHAnsi" w:hAnsiTheme="minorHAnsi"/>
          <w:noProof/>
          <w:sz w:val="18"/>
          <w:szCs w:val="18"/>
        </w:rPr>
      </w:pPr>
      <w:bookmarkStart w:id="26" w:name="_Toc216677185"/>
      <w:r>
        <w:rPr>
          <w:rFonts w:asciiTheme="minorHAnsi" w:hAnsiTheme="minorHAnsi"/>
          <w:sz w:val="18"/>
          <w:szCs w:val="18"/>
        </w:rPr>
        <w:t>Figure 1: linear regression for male p</w:t>
      </w:r>
      <w:r w:rsidRPr="00A24B36">
        <w:rPr>
          <w:rFonts w:asciiTheme="minorHAnsi" w:hAnsiTheme="minorHAnsi"/>
          <w:sz w:val="18"/>
          <w:szCs w:val="18"/>
        </w:rPr>
        <w:t>ositive FPI and</w:t>
      </w:r>
      <w:r w:rsidRPr="00A24B36">
        <w:rPr>
          <w:rFonts w:asciiTheme="minorHAnsi" w:hAnsiTheme="minorHAnsi"/>
          <w:noProof/>
          <w:sz w:val="18"/>
          <w:szCs w:val="18"/>
        </w:rPr>
        <w:t xml:space="preserve"> </w:t>
      </w:r>
      <w:r>
        <w:rPr>
          <w:rFonts w:asciiTheme="minorHAnsi" w:hAnsiTheme="minorHAnsi"/>
          <w:noProof/>
          <w:sz w:val="18"/>
          <w:szCs w:val="18"/>
        </w:rPr>
        <w:t>TOTALDL</w:t>
      </w:r>
      <w:bookmarkEnd w:id="26"/>
    </w:p>
    <w:p w:rsidR="00953E5C" w:rsidRDefault="00953E5C" w:rsidP="00953E5C">
      <w:pPr>
        <w:keepNext/>
      </w:pPr>
      <w:r>
        <w:rPr>
          <w:noProof/>
          <w:lang w:eastAsia="en-GB"/>
        </w:rPr>
        <w:drawing>
          <wp:inline distT="0" distB="0" distL="0" distR="0">
            <wp:extent cx="4777741" cy="3831265"/>
            <wp:effectExtent l="19050" t="0" r="3809"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cstate="print"/>
                    <a:srcRect/>
                    <a:stretch>
                      <a:fillRect/>
                    </a:stretch>
                  </pic:blipFill>
                  <pic:spPr bwMode="auto">
                    <a:xfrm>
                      <a:off x="0" y="0"/>
                      <a:ext cx="4777741" cy="3831265"/>
                    </a:xfrm>
                    <a:prstGeom prst="rect">
                      <a:avLst/>
                    </a:prstGeom>
                    <a:noFill/>
                    <a:ln w="9525">
                      <a:noFill/>
                      <a:miter lim="800000"/>
                      <a:headEnd/>
                      <a:tailEnd/>
                    </a:ln>
                  </pic:spPr>
                </pic:pic>
              </a:graphicData>
            </a:graphic>
          </wp:inline>
        </w:drawing>
      </w:r>
    </w:p>
    <w:p w:rsidR="00953E5C" w:rsidRPr="00DD0A79" w:rsidRDefault="00953E5C" w:rsidP="00953E5C">
      <w:pPr>
        <w:pStyle w:val="Caption"/>
        <w:outlineLvl w:val="2"/>
      </w:pPr>
      <w:bookmarkStart w:id="27" w:name="_Toc216677186"/>
      <w:r>
        <w:t xml:space="preserve">Figure 2: </w:t>
      </w:r>
      <w:r w:rsidRPr="00961C77">
        <w:t>linear regression f</w:t>
      </w:r>
      <w:r>
        <w:t>or male positive FPI and IR</w:t>
      </w:r>
      <w:bookmarkEnd w:id="27"/>
    </w:p>
    <w:p w:rsidR="00953E5C" w:rsidRDefault="007A16A5" w:rsidP="00953E5C">
      <w:pPr>
        <w:keepNext/>
      </w:pPr>
      <w:r>
        <w:rPr>
          <w:noProof/>
          <w:lang w:eastAsia="en-GB"/>
        </w:rPr>
        <w:lastRenderedPageBreak/>
        <w:pict>
          <v:shape id="_x0000_s1031" type="#_x0000_t202" style="position:absolute;margin-left:.75pt;margin-top:8.85pt;width:475.5pt;height:147pt;z-index:251665408" strokecolor="white [3212]">
            <v:textbox style="mso-next-textbox:#_x0000_s1031">
              <w:txbxContent>
                <w:tbl>
                  <w:tblPr>
                    <w:tblW w:w="802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6"/>
                    <w:gridCol w:w="1078"/>
                    <w:gridCol w:w="1009"/>
                    <w:gridCol w:w="1011"/>
                    <w:gridCol w:w="1011"/>
                    <w:gridCol w:w="1011"/>
                    <w:gridCol w:w="1049"/>
                    <w:gridCol w:w="1036"/>
                  </w:tblGrid>
                  <w:tr w:rsidR="00953E5C" w:rsidRPr="00DD0A79" w:rsidTr="0057023C">
                    <w:trPr>
                      <w:cantSplit/>
                      <w:tblHeader/>
                    </w:trPr>
                    <w:tc>
                      <w:tcPr>
                        <w:tcW w:w="8021" w:type="dxa"/>
                        <w:gridSpan w:val="8"/>
                        <w:tcBorders>
                          <w:top w:val="nil"/>
                          <w:left w:val="nil"/>
                          <w:bottom w:val="nil"/>
                          <w:right w:val="nil"/>
                        </w:tcBorders>
                        <w:shd w:val="clear" w:color="auto" w:fill="FFFFFF"/>
                        <w:tcMar>
                          <w:top w:w="30" w:type="dxa"/>
                          <w:left w:w="30" w:type="dxa"/>
                          <w:bottom w:w="30" w:type="dxa"/>
                          <w:right w:w="30" w:type="dxa"/>
                        </w:tcMar>
                        <w:vAlign w:val="center"/>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b/>
                            <w:bCs/>
                            <w:color w:val="000000"/>
                            <w:sz w:val="18"/>
                            <w:szCs w:val="18"/>
                          </w:rPr>
                          <w:t xml:space="preserve">Model Summary and Parameter </w:t>
                        </w:r>
                        <w:proofErr w:type="spellStart"/>
                        <w:r w:rsidRPr="00DD0A79">
                          <w:rPr>
                            <w:rFonts w:ascii="Arial" w:hAnsi="Arial" w:cs="Arial"/>
                            <w:b/>
                            <w:bCs/>
                            <w:color w:val="000000"/>
                            <w:sz w:val="18"/>
                            <w:szCs w:val="18"/>
                          </w:rPr>
                          <w:t>Estimates</w:t>
                        </w:r>
                        <w:r w:rsidRPr="00DD0A79">
                          <w:rPr>
                            <w:rFonts w:ascii="Arial" w:hAnsi="Arial" w:cs="Arial"/>
                            <w:b/>
                            <w:bCs/>
                            <w:color w:val="000000"/>
                            <w:sz w:val="18"/>
                            <w:szCs w:val="18"/>
                            <w:vertAlign w:val="superscript"/>
                          </w:rPr>
                          <w:t>a</w:t>
                        </w:r>
                        <w:proofErr w:type="spellEnd"/>
                      </w:p>
                    </w:tc>
                  </w:tr>
                  <w:tr w:rsidR="00953E5C" w:rsidRPr="00DD0A79" w:rsidTr="0057023C">
                    <w:trPr>
                      <w:cantSplit/>
                      <w:tblHeader/>
                    </w:trPr>
                    <w:tc>
                      <w:tcPr>
                        <w:tcW w:w="8021" w:type="dxa"/>
                        <w:gridSpan w:val="8"/>
                        <w:tcBorders>
                          <w:top w:val="nil"/>
                          <w:left w:val="nil"/>
                          <w:bottom w:val="nil"/>
                          <w:right w:val="nil"/>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rPr>
                            <w:rFonts w:ascii="Arial" w:hAnsi="Arial" w:cs="Arial"/>
                            <w:color w:val="000000"/>
                            <w:sz w:val="18"/>
                            <w:szCs w:val="18"/>
                          </w:rPr>
                        </w:pPr>
                        <w:r w:rsidRPr="00DD0A79">
                          <w:rPr>
                            <w:rFonts w:ascii="Arial" w:hAnsi="Arial" w:cs="Arial"/>
                            <w:color w:val="000000"/>
                            <w:sz w:val="18"/>
                            <w:szCs w:val="18"/>
                          </w:rPr>
                          <w:t xml:space="preserve">Dependent </w:t>
                        </w:r>
                        <w:proofErr w:type="spellStart"/>
                        <w:r w:rsidRPr="00DD0A79">
                          <w:rPr>
                            <w:rFonts w:ascii="Arial" w:hAnsi="Arial" w:cs="Arial"/>
                            <w:color w:val="000000"/>
                            <w:sz w:val="18"/>
                            <w:szCs w:val="18"/>
                          </w:rPr>
                          <w:t>Variable:Total</w:t>
                        </w:r>
                        <w:proofErr w:type="spellEnd"/>
                        <w:r w:rsidRPr="00DD0A79">
                          <w:rPr>
                            <w:rFonts w:ascii="Arial" w:hAnsi="Arial" w:cs="Arial"/>
                            <w:color w:val="000000"/>
                            <w:sz w:val="18"/>
                            <w:szCs w:val="18"/>
                          </w:rPr>
                          <w:t xml:space="preserve"> days training lost</w:t>
                        </w:r>
                      </w:p>
                    </w:tc>
                  </w:tr>
                  <w:tr w:rsidR="00953E5C" w:rsidRPr="00DD0A79" w:rsidTr="0057023C">
                    <w:trPr>
                      <w:cantSplit/>
                      <w:tblHeader/>
                    </w:trPr>
                    <w:tc>
                      <w:tcPr>
                        <w:tcW w:w="81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rPr>
                            <w:rFonts w:ascii="Arial" w:hAnsi="Arial" w:cs="Arial"/>
                            <w:color w:val="000000"/>
                            <w:sz w:val="18"/>
                            <w:szCs w:val="18"/>
                          </w:rPr>
                        </w:pPr>
                        <w:r w:rsidRPr="00DD0A79">
                          <w:rPr>
                            <w:rFonts w:ascii="Arial" w:hAnsi="Arial" w:cs="Arial"/>
                            <w:color w:val="000000"/>
                            <w:sz w:val="18"/>
                            <w:szCs w:val="18"/>
                          </w:rPr>
                          <w:t>Equation</w:t>
                        </w:r>
                      </w:p>
                    </w:tc>
                    <w:tc>
                      <w:tcPr>
                        <w:tcW w:w="5120"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Model Summary</w:t>
                        </w:r>
                      </w:p>
                    </w:tc>
                    <w:tc>
                      <w:tcPr>
                        <w:tcW w:w="2085"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Parameter Estimates</w:t>
                        </w:r>
                      </w:p>
                    </w:tc>
                  </w:tr>
                  <w:tr w:rsidR="00953E5C" w:rsidRPr="00DD0A79" w:rsidTr="0057023C">
                    <w:trPr>
                      <w:cantSplit/>
                      <w:tblHeader/>
                    </w:trPr>
                    <w:tc>
                      <w:tcPr>
                        <w:tcW w:w="81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240" w:lineRule="auto"/>
                          <w:rPr>
                            <w:rFonts w:ascii="Arial" w:hAnsi="Arial" w:cs="Arial"/>
                            <w:color w:val="000000"/>
                            <w:sz w:val="18"/>
                            <w:szCs w:val="18"/>
                          </w:rPr>
                        </w:pPr>
                      </w:p>
                    </w:tc>
                    <w:tc>
                      <w:tcPr>
                        <w:tcW w:w="107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R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F</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df1</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df2</w:t>
                        </w:r>
                      </w:p>
                    </w:tc>
                    <w:tc>
                      <w:tcPr>
                        <w:tcW w:w="1011" w:type="dxa"/>
                        <w:tcBorders>
                          <w:bottom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Sig.</w:t>
                        </w:r>
                      </w:p>
                    </w:tc>
                    <w:tc>
                      <w:tcPr>
                        <w:tcW w:w="1049" w:type="dxa"/>
                        <w:tcBorders>
                          <w:bottom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Constant</w:t>
                        </w:r>
                      </w:p>
                    </w:tc>
                    <w:tc>
                      <w:tcPr>
                        <w:tcW w:w="103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DD0A79" w:rsidRDefault="00953E5C" w:rsidP="0057023C">
                        <w:pPr>
                          <w:autoSpaceDE w:val="0"/>
                          <w:autoSpaceDN w:val="0"/>
                          <w:adjustRightInd w:val="0"/>
                          <w:spacing w:after="0" w:line="320" w:lineRule="atLeast"/>
                          <w:jc w:val="center"/>
                          <w:rPr>
                            <w:rFonts w:ascii="Arial" w:hAnsi="Arial" w:cs="Arial"/>
                            <w:color w:val="000000"/>
                            <w:sz w:val="18"/>
                            <w:szCs w:val="18"/>
                          </w:rPr>
                        </w:pPr>
                        <w:r w:rsidRPr="00DD0A79">
                          <w:rPr>
                            <w:rFonts w:ascii="Arial" w:hAnsi="Arial" w:cs="Arial"/>
                            <w:color w:val="000000"/>
                            <w:sz w:val="18"/>
                            <w:szCs w:val="18"/>
                          </w:rPr>
                          <w:t>b1</w:t>
                        </w:r>
                      </w:p>
                    </w:tc>
                  </w:tr>
                  <w:tr w:rsidR="00953E5C" w:rsidRPr="00DD0A79" w:rsidTr="0057023C">
                    <w:trPr>
                      <w:cantSplit/>
                      <w:tblHeader/>
                    </w:trPr>
                    <w:tc>
                      <w:tcPr>
                        <w:tcW w:w="81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rPr>
                            <w:rFonts w:ascii="Arial" w:hAnsi="Arial" w:cs="Arial"/>
                            <w:color w:val="000000"/>
                            <w:sz w:val="18"/>
                            <w:szCs w:val="18"/>
                          </w:rPr>
                        </w:pPr>
                        <w:r w:rsidRPr="00DD0A79">
                          <w:rPr>
                            <w:rFonts w:ascii="Arial" w:hAnsi="Arial" w:cs="Arial"/>
                            <w:color w:val="000000"/>
                            <w:sz w:val="18"/>
                            <w:szCs w:val="18"/>
                          </w:rPr>
                          <w:t>Linear</w:t>
                        </w:r>
                      </w:p>
                    </w:tc>
                    <w:tc>
                      <w:tcPr>
                        <w:tcW w:w="107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jc w:val="right"/>
                          <w:rPr>
                            <w:rFonts w:ascii="Arial" w:hAnsi="Arial" w:cs="Arial"/>
                            <w:color w:val="000000"/>
                            <w:sz w:val="18"/>
                            <w:szCs w:val="18"/>
                          </w:rPr>
                        </w:pPr>
                        <w:r w:rsidRPr="00DD0A79">
                          <w:rPr>
                            <w:rFonts w:ascii="Arial" w:hAnsi="Arial" w:cs="Arial"/>
                            <w:color w:val="000000"/>
                            <w:sz w:val="18"/>
                            <w:szCs w:val="18"/>
                          </w:rPr>
                          <w:t>.481</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jc w:val="right"/>
                          <w:rPr>
                            <w:rFonts w:ascii="Arial" w:hAnsi="Arial" w:cs="Arial"/>
                            <w:color w:val="000000"/>
                            <w:sz w:val="18"/>
                            <w:szCs w:val="18"/>
                          </w:rPr>
                        </w:pPr>
                        <w:r w:rsidRPr="00DD0A79">
                          <w:rPr>
                            <w:rFonts w:ascii="Arial" w:hAnsi="Arial" w:cs="Arial"/>
                            <w:color w:val="000000"/>
                            <w:sz w:val="18"/>
                            <w:szCs w:val="18"/>
                          </w:rPr>
                          <w:t>38.053</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jc w:val="right"/>
                          <w:rPr>
                            <w:rFonts w:ascii="Arial" w:hAnsi="Arial" w:cs="Arial"/>
                            <w:color w:val="000000"/>
                            <w:sz w:val="18"/>
                            <w:szCs w:val="18"/>
                          </w:rPr>
                        </w:pPr>
                        <w:r w:rsidRPr="00DD0A79">
                          <w:rPr>
                            <w:rFonts w:ascii="Arial" w:hAnsi="Arial" w:cs="Arial"/>
                            <w:color w:val="000000"/>
                            <w:sz w:val="18"/>
                            <w:szCs w:val="18"/>
                          </w:rPr>
                          <w:t>1</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jc w:val="right"/>
                          <w:rPr>
                            <w:rFonts w:ascii="Arial" w:hAnsi="Arial" w:cs="Arial"/>
                            <w:color w:val="000000"/>
                            <w:sz w:val="18"/>
                            <w:szCs w:val="18"/>
                          </w:rPr>
                        </w:pPr>
                        <w:r w:rsidRPr="00DD0A79">
                          <w:rPr>
                            <w:rFonts w:ascii="Arial" w:hAnsi="Arial" w:cs="Arial"/>
                            <w:color w:val="000000"/>
                            <w:sz w:val="18"/>
                            <w:szCs w:val="18"/>
                          </w:rPr>
                          <w:t>41</w:t>
                        </w:r>
                      </w:p>
                    </w:tc>
                    <w:tc>
                      <w:tcPr>
                        <w:tcW w:w="1011"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jc w:val="right"/>
                          <w:rPr>
                            <w:rFonts w:ascii="Arial" w:hAnsi="Arial" w:cs="Arial"/>
                            <w:color w:val="000000"/>
                            <w:sz w:val="18"/>
                            <w:szCs w:val="18"/>
                          </w:rPr>
                        </w:pPr>
                        <w:r w:rsidRPr="00DD0A79">
                          <w:rPr>
                            <w:rFonts w:ascii="Arial" w:hAnsi="Arial" w:cs="Arial"/>
                            <w:color w:val="000000"/>
                            <w:sz w:val="18"/>
                            <w:szCs w:val="18"/>
                          </w:rPr>
                          <w:t>.000</w:t>
                        </w:r>
                      </w:p>
                    </w:tc>
                    <w:tc>
                      <w:tcPr>
                        <w:tcW w:w="1049" w:type="dxa"/>
                        <w:tcBorders>
                          <w:top w:val="single" w:sz="16" w:space="0" w:color="000000"/>
                          <w:bottom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jc w:val="right"/>
                          <w:rPr>
                            <w:rFonts w:ascii="Arial" w:hAnsi="Arial" w:cs="Arial"/>
                            <w:color w:val="000000"/>
                            <w:sz w:val="18"/>
                            <w:szCs w:val="18"/>
                          </w:rPr>
                        </w:pPr>
                        <w:r w:rsidRPr="00DD0A79">
                          <w:rPr>
                            <w:rFonts w:ascii="Arial" w:hAnsi="Arial" w:cs="Arial"/>
                            <w:color w:val="000000"/>
                            <w:sz w:val="18"/>
                            <w:szCs w:val="18"/>
                          </w:rPr>
                          <w:t>-2.158</w:t>
                        </w:r>
                      </w:p>
                    </w:tc>
                    <w:tc>
                      <w:tcPr>
                        <w:tcW w:w="103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jc w:val="right"/>
                          <w:rPr>
                            <w:rFonts w:ascii="Arial" w:hAnsi="Arial" w:cs="Arial"/>
                            <w:color w:val="000000"/>
                            <w:sz w:val="18"/>
                            <w:szCs w:val="18"/>
                          </w:rPr>
                        </w:pPr>
                        <w:r w:rsidRPr="00DD0A79">
                          <w:rPr>
                            <w:rFonts w:ascii="Arial" w:hAnsi="Arial" w:cs="Arial"/>
                            <w:color w:val="000000"/>
                            <w:sz w:val="18"/>
                            <w:szCs w:val="18"/>
                          </w:rPr>
                          <w:t>1.808</w:t>
                        </w:r>
                      </w:p>
                    </w:tc>
                  </w:tr>
                  <w:tr w:rsidR="00953E5C" w:rsidRPr="00DD0A79" w:rsidTr="0057023C">
                    <w:trPr>
                      <w:cantSplit/>
                      <w:tblHeader/>
                    </w:trPr>
                    <w:tc>
                      <w:tcPr>
                        <w:tcW w:w="8021" w:type="dxa"/>
                        <w:gridSpan w:val="8"/>
                        <w:tcBorders>
                          <w:top w:val="nil"/>
                          <w:left w:val="nil"/>
                          <w:bottom w:val="nil"/>
                          <w:right w:val="nil"/>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rPr>
                            <w:rFonts w:ascii="Arial" w:hAnsi="Arial" w:cs="Arial"/>
                            <w:color w:val="000000"/>
                            <w:sz w:val="18"/>
                            <w:szCs w:val="18"/>
                          </w:rPr>
                        </w:pPr>
                        <w:r w:rsidRPr="00DD0A79">
                          <w:rPr>
                            <w:rFonts w:ascii="Arial" w:hAnsi="Arial" w:cs="Arial"/>
                            <w:color w:val="000000"/>
                            <w:sz w:val="18"/>
                            <w:szCs w:val="18"/>
                          </w:rPr>
                          <w:t xml:space="preserve">The independent variable is </w:t>
                        </w:r>
                        <w:proofErr w:type="spellStart"/>
                        <w:r w:rsidRPr="00DD0A79">
                          <w:rPr>
                            <w:rFonts w:ascii="Arial" w:hAnsi="Arial" w:cs="Arial"/>
                            <w:color w:val="000000"/>
                            <w:sz w:val="18"/>
                            <w:szCs w:val="18"/>
                          </w:rPr>
                          <w:t>fpi</w:t>
                        </w:r>
                        <w:proofErr w:type="spellEnd"/>
                        <w:r w:rsidRPr="00DD0A79">
                          <w:rPr>
                            <w:rFonts w:ascii="Arial" w:hAnsi="Arial" w:cs="Arial"/>
                            <w:color w:val="000000"/>
                            <w:sz w:val="18"/>
                            <w:szCs w:val="18"/>
                          </w:rPr>
                          <w:t xml:space="preserve"> score.</w:t>
                        </w:r>
                      </w:p>
                    </w:tc>
                  </w:tr>
                  <w:tr w:rsidR="00953E5C" w:rsidRPr="00DD0A79" w:rsidTr="0057023C">
                    <w:trPr>
                      <w:cantSplit/>
                    </w:trPr>
                    <w:tc>
                      <w:tcPr>
                        <w:tcW w:w="8021" w:type="dxa"/>
                        <w:gridSpan w:val="8"/>
                        <w:tcBorders>
                          <w:top w:val="nil"/>
                          <w:left w:val="nil"/>
                          <w:bottom w:val="nil"/>
                          <w:right w:val="nil"/>
                        </w:tcBorders>
                        <w:shd w:val="clear" w:color="auto" w:fill="FFFFFF"/>
                        <w:tcMar>
                          <w:top w:w="30" w:type="dxa"/>
                          <w:left w:w="30" w:type="dxa"/>
                          <w:bottom w:w="30" w:type="dxa"/>
                          <w:right w:w="30" w:type="dxa"/>
                        </w:tcMar>
                      </w:tcPr>
                      <w:p w:rsidR="00953E5C" w:rsidRPr="00DD0A79" w:rsidRDefault="00953E5C" w:rsidP="0057023C">
                        <w:pPr>
                          <w:autoSpaceDE w:val="0"/>
                          <w:autoSpaceDN w:val="0"/>
                          <w:adjustRightInd w:val="0"/>
                          <w:spacing w:after="0" w:line="320" w:lineRule="atLeast"/>
                          <w:rPr>
                            <w:rFonts w:ascii="Arial" w:hAnsi="Arial" w:cs="Arial"/>
                            <w:color w:val="000000"/>
                            <w:sz w:val="18"/>
                            <w:szCs w:val="18"/>
                          </w:rPr>
                        </w:pPr>
                        <w:r w:rsidRPr="00DD0A79">
                          <w:rPr>
                            <w:rFonts w:ascii="Arial" w:hAnsi="Arial" w:cs="Arial"/>
                            <w:color w:val="000000"/>
                            <w:sz w:val="18"/>
                            <w:szCs w:val="18"/>
                          </w:rPr>
                          <w:t>a. Sex = Female</w:t>
                        </w:r>
                      </w:p>
                    </w:tc>
                  </w:tr>
                </w:tbl>
                <w:p w:rsidR="00953E5C" w:rsidRDefault="00953E5C" w:rsidP="00953E5C"/>
              </w:txbxContent>
            </v:textbox>
          </v:shape>
        </w:pict>
      </w:r>
    </w:p>
    <w:p w:rsidR="00953E5C" w:rsidRDefault="00953E5C" w:rsidP="00953E5C">
      <w:pPr>
        <w:keepNext/>
      </w:pPr>
    </w:p>
    <w:p w:rsidR="00953E5C" w:rsidRDefault="00953E5C" w:rsidP="00953E5C">
      <w:pPr>
        <w:keepNext/>
      </w:pPr>
    </w:p>
    <w:p w:rsidR="00953E5C" w:rsidRDefault="00953E5C" w:rsidP="00953E5C">
      <w:pPr>
        <w:keepNext/>
      </w:pPr>
    </w:p>
    <w:p w:rsidR="00953E5C" w:rsidRDefault="00953E5C" w:rsidP="00953E5C">
      <w:pPr>
        <w:keepNext/>
      </w:pPr>
    </w:p>
    <w:p w:rsidR="00953E5C" w:rsidRDefault="00953E5C" w:rsidP="00953E5C">
      <w:pPr>
        <w:keepNext/>
      </w:pPr>
    </w:p>
    <w:p w:rsidR="00953E5C" w:rsidRDefault="00953E5C" w:rsidP="00953E5C">
      <w:pPr>
        <w:keepNext/>
        <w:autoSpaceDE w:val="0"/>
        <w:autoSpaceDN w:val="0"/>
        <w:adjustRightInd w:val="0"/>
        <w:spacing w:after="0" w:line="400" w:lineRule="atLeast"/>
      </w:pPr>
      <w:r>
        <w:rPr>
          <w:rFonts w:ascii="Times New Roman" w:hAnsi="Times New Roman" w:cs="Times New Roman"/>
          <w:noProof/>
          <w:sz w:val="24"/>
          <w:szCs w:val="24"/>
          <w:lang w:eastAsia="en-GB"/>
        </w:rPr>
        <w:drawing>
          <wp:inline distT="0" distB="0" distL="0" distR="0">
            <wp:extent cx="5574031" cy="4469809"/>
            <wp:effectExtent l="19050" t="0" r="7619"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 cstate="print"/>
                    <a:srcRect/>
                    <a:stretch>
                      <a:fillRect/>
                    </a:stretch>
                  </pic:blipFill>
                  <pic:spPr bwMode="auto">
                    <a:xfrm>
                      <a:off x="0" y="0"/>
                      <a:ext cx="5574031" cy="4469809"/>
                    </a:xfrm>
                    <a:prstGeom prst="rect">
                      <a:avLst/>
                    </a:prstGeom>
                    <a:noFill/>
                    <a:ln w="9525">
                      <a:noFill/>
                      <a:miter lim="800000"/>
                      <a:headEnd/>
                      <a:tailEnd/>
                    </a:ln>
                  </pic:spPr>
                </pic:pic>
              </a:graphicData>
            </a:graphic>
          </wp:inline>
        </w:drawing>
      </w:r>
    </w:p>
    <w:p w:rsidR="00953E5C" w:rsidRPr="00DD0A79" w:rsidRDefault="00953E5C" w:rsidP="00953E5C">
      <w:pPr>
        <w:pStyle w:val="Caption"/>
        <w:outlineLvl w:val="2"/>
        <w:rPr>
          <w:rFonts w:ascii="Times New Roman" w:hAnsi="Times New Roman" w:cs="Times New Roman"/>
          <w:sz w:val="24"/>
          <w:szCs w:val="24"/>
        </w:rPr>
      </w:pPr>
      <w:bookmarkStart w:id="28" w:name="_Toc216677187"/>
      <w:r>
        <w:t xml:space="preserve">Figure 3: </w:t>
      </w:r>
      <w:r w:rsidRPr="009667C0">
        <w:t xml:space="preserve">linear regression for </w:t>
      </w:r>
      <w:r>
        <w:t>female positive FPI and TOTALDL</w:t>
      </w:r>
      <w:bookmarkEnd w:id="28"/>
    </w:p>
    <w:p w:rsidR="00953E5C" w:rsidRDefault="00953E5C" w:rsidP="00953E5C">
      <w:pPr>
        <w:keepNext/>
      </w:pPr>
      <w:r>
        <w:rPr>
          <w:noProof/>
          <w:lang w:eastAsia="en-GB"/>
        </w:rPr>
        <w:lastRenderedPageBreak/>
        <w:drawing>
          <wp:inline distT="0" distB="0" distL="0" distR="0">
            <wp:extent cx="5574031" cy="4469809"/>
            <wp:effectExtent l="19050" t="0" r="7619"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1" cstate="print"/>
                    <a:srcRect/>
                    <a:stretch>
                      <a:fillRect/>
                    </a:stretch>
                  </pic:blipFill>
                  <pic:spPr bwMode="auto">
                    <a:xfrm>
                      <a:off x="0" y="0"/>
                      <a:ext cx="5574031" cy="4469809"/>
                    </a:xfrm>
                    <a:prstGeom prst="rect">
                      <a:avLst/>
                    </a:prstGeom>
                    <a:noFill/>
                    <a:ln w="9525">
                      <a:noFill/>
                      <a:miter lim="800000"/>
                      <a:headEnd/>
                      <a:tailEnd/>
                    </a:ln>
                  </pic:spPr>
                </pic:pic>
              </a:graphicData>
            </a:graphic>
          </wp:inline>
        </w:drawing>
      </w:r>
    </w:p>
    <w:p w:rsidR="00953E5C" w:rsidRDefault="00953E5C" w:rsidP="00953E5C">
      <w:pPr>
        <w:pStyle w:val="Caption"/>
        <w:outlineLvl w:val="2"/>
      </w:pPr>
      <w:bookmarkStart w:id="29" w:name="_Toc216677188"/>
      <w:r>
        <w:t xml:space="preserve">Figure 4: </w:t>
      </w:r>
      <w:r w:rsidRPr="00056803">
        <w:t xml:space="preserve">linear regression for </w:t>
      </w:r>
      <w:r>
        <w:t>female p</w:t>
      </w:r>
      <w:r w:rsidRPr="00056803">
        <w:t xml:space="preserve">ositive FPI and </w:t>
      </w:r>
      <w:r>
        <w:t>IR</w:t>
      </w:r>
      <w:bookmarkEnd w:id="29"/>
    </w:p>
    <w:p w:rsidR="00953E5C" w:rsidRPr="00EB71A8" w:rsidRDefault="00953E5C" w:rsidP="00953E5C">
      <w:pPr>
        <w:spacing w:line="360" w:lineRule="auto"/>
        <w:rPr>
          <w:sz w:val="24"/>
          <w:szCs w:val="24"/>
        </w:rPr>
      </w:pPr>
      <w:r w:rsidRPr="00EB71A8">
        <w:rPr>
          <w:sz w:val="24"/>
          <w:szCs w:val="24"/>
        </w:rPr>
        <w:t>Linear regression analysis was carried</w:t>
      </w:r>
      <w:r>
        <w:rPr>
          <w:sz w:val="24"/>
          <w:szCs w:val="24"/>
        </w:rPr>
        <w:t xml:space="preserve"> out on the negative FPI </w:t>
      </w:r>
      <w:proofErr w:type="gramStart"/>
      <w:r>
        <w:rPr>
          <w:sz w:val="24"/>
          <w:szCs w:val="24"/>
        </w:rPr>
        <w:t>scores</w:t>
      </w:r>
      <w:r w:rsidRPr="00EB71A8">
        <w:rPr>
          <w:sz w:val="24"/>
          <w:szCs w:val="24"/>
        </w:rPr>
        <w:t>,</w:t>
      </w:r>
      <w:proofErr w:type="gramEnd"/>
      <w:r w:rsidRPr="00EB71A8">
        <w:rPr>
          <w:sz w:val="24"/>
          <w:szCs w:val="24"/>
        </w:rPr>
        <w:t xml:space="preserve"> however the low power in these sets gave very poor significance levels to these calculations.</w:t>
      </w:r>
    </w:p>
    <w:p w:rsidR="00953E5C" w:rsidRDefault="00953E5C" w:rsidP="00953E5C">
      <w:pPr>
        <w:spacing w:line="360" w:lineRule="auto"/>
        <w:rPr>
          <w:sz w:val="24"/>
          <w:szCs w:val="24"/>
        </w:rPr>
      </w:pPr>
      <w:r w:rsidRPr="00EB71A8">
        <w:rPr>
          <w:sz w:val="24"/>
          <w:szCs w:val="24"/>
        </w:rPr>
        <w:t xml:space="preserve">The quadratic and cubic regression for male participants between FPI and TOTALDL </w:t>
      </w:r>
      <w:r>
        <w:rPr>
          <w:sz w:val="24"/>
          <w:szCs w:val="24"/>
        </w:rPr>
        <w:t>are provided</w:t>
      </w:r>
      <w:r w:rsidRPr="00EB71A8">
        <w:rPr>
          <w:sz w:val="24"/>
          <w:szCs w:val="24"/>
        </w:rPr>
        <w:t xml:space="preserve"> in </w:t>
      </w:r>
      <w:r>
        <w:rPr>
          <w:sz w:val="24"/>
          <w:szCs w:val="24"/>
        </w:rPr>
        <w:t>Figure 5</w:t>
      </w:r>
      <w:r w:rsidRPr="00EB71A8">
        <w:rPr>
          <w:sz w:val="24"/>
          <w:szCs w:val="24"/>
        </w:rPr>
        <w:t xml:space="preserve"> and female participants in </w:t>
      </w:r>
      <w:r>
        <w:rPr>
          <w:sz w:val="24"/>
          <w:szCs w:val="24"/>
        </w:rPr>
        <w:t>Figure 6</w:t>
      </w:r>
      <w:r w:rsidRPr="00EB71A8">
        <w:rPr>
          <w:sz w:val="24"/>
          <w:szCs w:val="24"/>
        </w:rPr>
        <w:t xml:space="preserve">. While the quadratic and cubic regression for male participants between FPI and IR can be seen in </w:t>
      </w:r>
      <w:r>
        <w:rPr>
          <w:sz w:val="24"/>
          <w:szCs w:val="24"/>
        </w:rPr>
        <w:t>Figure 7</w:t>
      </w:r>
      <w:r w:rsidRPr="00EB71A8">
        <w:rPr>
          <w:sz w:val="24"/>
          <w:szCs w:val="24"/>
        </w:rPr>
        <w:t xml:space="preserve"> and female participants in </w:t>
      </w:r>
      <w:r>
        <w:rPr>
          <w:sz w:val="24"/>
          <w:szCs w:val="24"/>
        </w:rPr>
        <w:t>Figure 8.</w:t>
      </w:r>
    </w:p>
    <w:p w:rsidR="00953E5C" w:rsidRDefault="00953E5C" w:rsidP="00953E5C">
      <w:pPr>
        <w:rPr>
          <w:sz w:val="24"/>
          <w:szCs w:val="24"/>
        </w:rPr>
      </w:pPr>
      <w:r>
        <w:rPr>
          <w:sz w:val="24"/>
          <w:szCs w:val="24"/>
        </w:rPr>
        <w:br w:type="page"/>
      </w:r>
    </w:p>
    <w:p w:rsidR="00953E5C" w:rsidRDefault="00953E5C" w:rsidP="00953E5C">
      <w:pPr>
        <w:rPr>
          <w:sz w:val="24"/>
          <w:szCs w:val="24"/>
        </w:rPr>
      </w:pPr>
    </w:p>
    <w:p w:rsidR="00953E5C" w:rsidRDefault="007A16A5" w:rsidP="00953E5C">
      <w:pPr>
        <w:rPr>
          <w:sz w:val="24"/>
          <w:szCs w:val="24"/>
        </w:rPr>
      </w:pPr>
      <w:r>
        <w:rPr>
          <w:noProof/>
          <w:sz w:val="24"/>
          <w:szCs w:val="24"/>
          <w:lang w:eastAsia="en-GB"/>
        </w:rPr>
        <w:pict>
          <v:shape id="_x0000_s1032" type="#_x0000_t202" style="position:absolute;margin-left:-.75pt;margin-top:-3pt;width:360.75pt;height:183pt;z-index:251666432" strokecolor="white [3212]">
            <v:textbox style="mso-next-textbox:#_x0000_s1032">
              <w:txbxContent>
                <w:p w:rsidR="00953E5C" w:rsidRPr="007C3CBB" w:rsidRDefault="00953E5C" w:rsidP="00953E5C">
                  <w:pPr>
                    <w:autoSpaceDE w:val="0"/>
                    <w:autoSpaceDN w:val="0"/>
                    <w:adjustRightInd w:val="0"/>
                    <w:spacing w:after="0" w:line="240" w:lineRule="auto"/>
                    <w:rPr>
                      <w:rFonts w:ascii="Times New Roman" w:hAnsi="Times New Roman" w:cs="Times New Roman"/>
                      <w:sz w:val="24"/>
                      <w:szCs w:val="24"/>
                    </w:rPr>
                  </w:pPr>
                </w:p>
                <w:tbl>
                  <w:tblPr>
                    <w:tblW w:w="10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92"/>
                    <w:gridCol w:w="1080"/>
                    <w:gridCol w:w="1009"/>
                    <w:gridCol w:w="1010"/>
                    <w:gridCol w:w="1010"/>
                    <w:gridCol w:w="1010"/>
                    <w:gridCol w:w="4079"/>
                  </w:tblGrid>
                  <w:tr w:rsidR="00953E5C" w:rsidRPr="007C3CBB"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cente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b/>
                            <w:bCs/>
                            <w:color w:val="000000"/>
                            <w:sz w:val="18"/>
                            <w:szCs w:val="18"/>
                          </w:rPr>
                          <w:t xml:space="preserve">Model Summary and Parameter </w:t>
                        </w:r>
                        <w:proofErr w:type="spellStart"/>
                        <w:r w:rsidRPr="007C3CBB">
                          <w:rPr>
                            <w:rFonts w:ascii="Arial" w:hAnsi="Arial" w:cs="Arial"/>
                            <w:b/>
                            <w:bCs/>
                            <w:color w:val="000000"/>
                            <w:sz w:val="18"/>
                            <w:szCs w:val="18"/>
                          </w:rPr>
                          <w:t>Estimates</w:t>
                        </w:r>
                        <w:r w:rsidRPr="007C3CBB">
                          <w:rPr>
                            <w:rFonts w:ascii="Arial" w:hAnsi="Arial" w:cs="Arial"/>
                            <w:b/>
                            <w:bCs/>
                            <w:color w:val="000000"/>
                            <w:sz w:val="18"/>
                            <w:szCs w:val="18"/>
                            <w:vertAlign w:val="superscript"/>
                          </w:rPr>
                          <w:t>a</w:t>
                        </w:r>
                        <w:proofErr w:type="spellEnd"/>
                      </w:p>
                    </w:tc>
                  </w:tr>
                  <w:tr w:rsidR="00953E5C" w:rsidRPr="007C3CBB"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 xml:space="preserve">Dependent </w:t>
                        </w:r>
                        <w:proofErr w:type="spellStart"/>
                        <w:r w:rsidRPr="007C3CBB">
                          <w:rPr>
                            <w:rFonts w:ascii="Arial" w:hAnsi="Arial" w:cs="Arial"/>
                            <w:color w:val="000000"/>
                            <w:sz w:val="18"/>
                            <w:szCs w:val="18"/>
                          </w:rPr>
                          <w:t>Variable:Total</w:t>
                        </w:r>
                        <w:proofErr w:type="spellEnd"/>
                        <w:r w:rsidRPr="007C3CBB">
                          <w:rPr>
                            <w:rFonts w:ascii="Arial" w:hAnsi="Arial" w:cs="Arial"/>
                            <w:color w:val="000000"/>
                            <w:sz w:val="18"/>
                            <w:szCs w:val="18"/>
                          </w:rPr>
                          <w:t xml:space="preserve"> days training lost</w:t>
                        </w:r>
                      </w:p>
                    </w:tc>
                  </w:tr>
                  <w:tr w:rsidR="00953E5C" w:rsidRPr="007C3CBB" w:rsidTr="0057023C">
                    <w:trPr>
                      <w:gridAfter w:val="1"/>
                      <w:wAfter w:w="4079" w:type="dxa"/>
                      <w:cantSplit/>
                      <w:tblHeader/>
                    </w:trPr>
                    <w:tc>
                      <w:tcPr>
                        <w:tcW w:w="1092"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Equation</w:t>
                        </w:r>
                      </w:p>
                    </w:tc>
                    <w:tc>
                      <w:tcPr>
                        <w:tcW w:w="5119"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Model Summary</w:t>
                        </w:r>
                      </w:p>
                    </w:tc>
                  </w:tr>
                  <w:tr w:rsidR="00953E5C" w:rsidRPr="007C3CBB" w:rsidTr="0057023C">
                    <w:trPr>
                      <w:gridAfter w:val="1"/>
                      <w:wAfter w:w="4079" w:type="dxa"/>
                      <w:cantSplit/>
                      <w:tblHeader/>
                    </w:trPr>
                    <w:tc>
                      <w:tcPr>
                        <w:tcW w:w="1092"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240" w:lineRule="auto"/>
                          <w:rPr>
                            <w:rFonts w:ascii="Arial" w:hAnsi="Arial" w:cs="Arial"/>
                            <w:color w:val="000000"/>
                            <w:sz w:val="18"/>
                            <w:szCs w:val="18"/>
                          </w:rPr>
                        </w:pPr>
                      </w:p>
                    </w:tc>
                    <w:tc>
                      <w:tcPr>
                        <w:tcW w:w="108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R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F</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df1</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df2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Sig.</w:t>
                        </w:r>
                      </w:p>
                    </w:tc>
                  </w:tr>
                  <w:tr w:rsidR="00953E5C" w:rsidRPr="007C3CBB" w:rsidTr="0057023C">
                    <w:trPr>
                      <w:gridAfter w:val="1"/>
                      <w:wAfter w:w="4079" w:type="dxa"/>
                      <w:cantSplit/>
                      <w:tblHeader/>
                    </w:trPr>
                    <w:tc>
                      <w:tcPr>
                        <w:tcW w:w="109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Quadratic</w:t>
                        </w:r>
                      </w:p>
                    </w:tc>
                    <w:tc>
                      <w:tcPr>
                        <w:tcW w:w="10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.637</w:t>
                        </w:r>
                      </w:p>
                    </w:tc>
                    <w:tc>
                      <w:tcPr>
                        <w:tcW w:w="1009"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41.231</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2</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47</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.000</w:t>
                        </w:r>
                      </w:p>
                    </w:tc>
                  </w:tr>
                  <w:tr w:rsidR="00953E5C" w:rsidRPr="007C3CBB" w:rsidTr="0057023C">
                    <w:trPr>
                      <w:gridAfter w:val="1"/>
                      <w:wAfter w:w="4079" w:type="dxa"/>
                      <w:cantSplit/>
                      <w:tblHeader/>
                    </w:trPr>
                    <w:tc>
                      <w:tcPr>
                        <w:tcW w:w="109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Cubic</w:t>
                        </w:r>
                      </w:p>
                    </w:tc>
                    <w:tc>
                      <w:tcPr>
                        <w:tcW w:w="10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.637</w:t>
                        </w:r>
                      </w:p>
                    </w:tc>
                    <w:tc>
                      <w:tcPr>
                        <w:tcW w:w="1009"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26.960</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3</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46</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.000</w:t>
                        </w:r>
                      </w:p>
                    </w:tc>
                  </w:tr>
                  <w:tr w:rsidR="00953E5C" w:rsidRPr="007C3CBB"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 xml:space="preserve">The independent variable is </w:t>
                        </w:r>
                        <w:proofErr w:type="spellStart"/>
                        <w:r w:rsidRPr="007C3CBB">
                          <w:rPr>
                            <w:rFonts w:ascii="Arial" w:hAnsi="Arial" w:cs="Arial"/>
                            <w:color w:val="000000"/>
                            <w:sz w:val="18"/>
                            <w:szCs w:val="18"/>
                          </w:rPr>
                          <w:t>fpi</w:t>
                        </w:r>
                        <w:proofErr w:type="spellEnd"/>
                        <w:r w:rsidRPr="007C3CBB">
                          <w:rPr>
                            <w:rFonts w:ascii="Arial" w:hAnsi="Arial" w:cs="Arial"/>
                            <w:color w:val="000000"/>
                            <w:sz w:val="18"/>
                            <w:szCs w:val="18"/>
                          </w:rPr>
                          <w:t xml:space="preserve"> score.</w:t>
                        </w:r>
                      </w:p>
                    </w:tc>
                  </w:tr>
                  <w:tr w:rsidR="00953E5C" w:rsidRPr="007C3CBB" w:rsidTr="0057023C">
                    <w:trPr>
                      <w:cantSplit/>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a. Sex = Male</w:t>
                        </w:r>
                      </w:p>
                    </w:tc>
                  </w:tr>
                </w:tbl>
                <w:p w:rsidR="00953E5C" w:rsidRDefault="00953E5C" w:rsidP="00953E5C"/>
              </w:txbxContent>
            </v:textbox>
          </v:shape>
        </w:pict>
      </w:r>
    </w:p>
    <w:p w:rsidR="00953E5C" w:rsidRDefault="00953E5C" w:rsidP="00953E5C">
      <w:pPr>
        <w:rPr>
          <w:sz w:val="24"/>
          <w:szCs w:val="24"/>
        </w:rPr>
      </w:pPr>
    </w:p>
    <w:p w:rsidR="00953E5C" w:rsidRDefault="00953E5C" w:rsidP="00953E5C">
      <w:pPr>
        <w:rPr>
          <w:sz w:val="24"/>
          <w:szCs w:val="24"/>
        </w:rPr>
      </w:pPr>
    </w:p>
    <w:p w:rsidR="00953E5C" w:rsidRDefault="00953E5C" w:rsidP="00953E5C">
      <w:pPr>
        <w:rPr>
          <w:sz w:val="24"/>
          <w:szCs w:val="24"/>
        </w:rPr>
      </w:pPr>
    </w:p>
    <w:p w:rsidR="00953E5C" w:rsidRDefault="00953E5C" w:rsidP="00953E5C">
      <w:pPr>
        <w:rPr>
          <w:sz w:val="24"/>
          <w:szCs w:val="24"/>
        </w:rPr>
      </w:pPr>
    </w:p>
    <w:p w:rsidR="00953E5C" w:rsidRDefault="00953E5C" w:rsidP="00953E5C">
      <w:pPr>
        <w:rPr>
          <w:sz w:val="24"/>
          <w:szCs w:val="24"/>
        </w:rPr>
      </w:pPr>
    </w:p>
    <w:p w:rsidR="00953E5C" w:rsidRPr="00EB71A8" w:rsidRDefault="00953E5C" w:rsidP="00953E5C">
      <w:pPr>
        <w:rPr>
          <w:sz w:val="24"/>
          <w:szCs w:val="24"/>
        </w:rPr>
      </w:pPr>
    </w:p>
    <w:p w:rsidR="00953E5C" w:rsidRDefault="00953E5C" w:rsidP="00953E5C">
      <w:pPr>
        <w:keepNext/>
        <w:autoSpaceDE w:val="0"/>
        <w:autoSpaceDN w:val="0"/>
        <w:adjustRightInd w:val="0"/>
        <w:spacing w:after="0" w:line="400" w:lineRule="atLeast"/>
      </w:pPr>
      <w:r>
        <w:rPr>
          <w:rFonts w:ascii="Times New Roman" w:hAnsi="Times New Roman" w:cs="Times New Roman"/>
          <w:noProof/>
          <w:sz w:val="24"/>
          <w:szCs w:val="24"/>
          <w:lang w:eastAsia="en-GB"/>
        </w:rPr>
        <w:drawing>
          <wp:inline distT="0" distB="0" distL="0" distR="0">
            <wp:extent cx="5574031" cy="4469809"/>
            <wp:effectExtent l="19050" t="0" r="7619"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cstate="print"/>
                    <a:srcRect/>
                    <a:stretch>
                      <a:fillRect/>
                    </a:stretch>
                  </pic:blipFill>
                  <pic:spPr bwMode="auto">
                    <a:xfrm>
                      <a:off x="0" y="0"/>
                      <a:ext cx="5574031" cy="4469809"/>
                    </a:xfrm>
                    <a:prstGeom prst="rect">
                      <a:avLst/>
                    </a:prstGeom>
                    <a:noFill/>
                    <a:ln w="9525">
                      <a:noFill/>
                      <a:miter lim="800000"/>
                      <a:headEnd/>
                      <a:tailEnd/>
                    </a:ln>
                  </pic:spPr>
                </pic:pic>
              </a:graphicData>
            </a:graphic>
          </wp:inline>
        </w:drawing>
      </w:r>
    </w:p>
    <w:p w:rsidR="00953E5C" w:rsidRPr="007C3CBB" w:rsidRDefault="00953E5C" w:rsidP="00953E5C">
      <w:pPr>
        <w:pStyle w:val="Caption"/>
        <w:outlineLvl w:val="2"/>
        <w:rPr>
          <w:rFonts w:ascii="Times New Roman" w:hAnsi="Times New Roman" w:cs="Times New Roman"/>
          <w:sz w:val="24"/>
          <w:szCs w:val="24"/>
        </w:rPr>
      </w:pPr>
      <w:bookmarkStart w:id="30" w:name="_Toc216677189"/>
      <w:r>
        <w:t>Figure 5: Quadratic and cubic regression of FPI and TOTALDL for male participants</w:t>
      </w:r>
      <w:bookmarkEnd w:id="30"/>
    </w:p>
    <w:p w:rsidR="00953E5C" w:rsidRDefault="007A16A5" w:rsidP="00953E5C">
      <w:pPr>
        <w:keepNext/>
        <w:autoSpaceDE w:val="0"/>
        <w:autoSpaceDN w:val="0"/>
        <w:adjustRightInd w:val="0"/>
        <w:spacing w:after="0" w:line="400" w:lineRule="atLeast"/>
      </w:pPr>
      <w:r w:rsidRPr="007A16A5">
        <w:rPr>
          <w:rFonts w:ascii="Times New Roman" w:hAnsi="Times New Roman" w:cs="Times New Roman"/>
          <w:noProof/>
          <w:sz w:val="24"/>
          <w:szCs w:val="24"/>
          <w:lang w:eastAsia="en-GB"/>
        </w:rPr>
        <w:lastRenderedPageBreak/>
        <w:pict>
          <v:shape id="_x0000_s1033" type="#_x0000_t202" style="position:absolute;margin-left:-.75pt;margin-top:9.6pt;width:409.5pt;height:208.5pt;z-index:251667456" strokecolor="white [3212]">
            <v:textbox style="mso-next-textbox:#_x0000_s1033">
              <w:txbxContent>
                <w:tbl>
                  <w:tblPr>
                    <w:tblW w:w="10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92"/>
                    <w:gridCol w:w="1080"/>
                    <w:gridCol w:w="1009"/>
                    <w:gridCol w:w="1010"/>
                    <w:gridCol w:w="1010"/>
                    <w:gridCol w:w="1010"/>
                    <w:gridCol w:w="4079"/>
                  </w:tblGrid>
                  <w:tr w:rsidR="00953E5C" w:rsidRPr="007C3CBB"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center"/>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b/>
                            <w:bCs/>
                            <w:color w:val="000000"/>
                            <w:sz w:val="18"/>
                            <w:szCs w:val="18"/>
                          </w:rPr>
                          <w:t xml:space="preserve">Model Summary and Parameter </w:t>
                        </w:r>
                        <w:proofErr w:type="spellStart"/>
                        <w:r w:rsidRPr="007C3CBB">
                          <w:rPr>
                            <w:rFonts w:ascii="Arial" w:hAnsi="Arial" w:cs="Arial"/>
                            <w:b/>
                            <w:bCs/>
                            <w:color w:val="000000"/>
                            <w:sz w:val="18"/>
                            <w:szCs w:val="18"/>
                          </w:rPr>
                          <w:t>Estimates</w:t>
                        </w:r>
                        <w:r w:rsidRPr="007C3CBB">
                          <w:rPr>
                            <w:rFonts w:ascii="Arial" w:hAnsi="Arial" w:cs="Arial"/>
                            <w:b/>
                            <w:bCs/>
                            <w:color w:val="000000"/>
                            <w:sz w:val="18"/>
                            <w:szCs w:val="18"/>
                            <w:vertAlign w:val="superscript"/>
                          </w:rPr>
                          <w:t>a</w:t>
                        </w:r>
                        <w:proofErr w:type="spellEnd"/>
                      </w:p>
                    </w:tc>
                  </w:tr>
                  <w:tr w:rsidR="00953E5C" w:rsidRPr="007C3CBB"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 xml:space="preserve">Dependent </w:t>
                        </w:r>
                        <w:proofErr w:type="spellStart"/>
                        <w:r w:rsidRPr="007C3CBB">
                          <w:rPr>
                            <w:rFonts w:ascii="Arial" w:hAnsi="Arial" w:cs="Arial"/>
                            <w:color w:val="000000"/>
                            <w:sz w:val="18"/>
                            <w:szCs w:val="18"/>
                          </w:rPr>
                          <w:t>Variable:Total</w:t>
                        </w:r>
                        <w:proofErr w:type="spellEnd"/>
                        <w:r w:rsidRPr="007C3CBB">
                          <w:rPr>
                            <w:rFonts w:ascii="Arial" w:hAnsi="Arial" w:cs="Arial"/>
                            <w:color w:val="000000"/>
                            <w:sz w:val="18"/>
                            <w:szCs w:val="18"/>
                          </w:rPr>
                          <w:t xml:space="preserve"> days training lost</w:t>
                        </w:r>
                      </w:p>
                    </w:tc>
                  </w:tr>
                  <w:tr w:rsidR="00953E5C" w:rsidRPr="007C3CBB" w:rsidTr="0057023C">
                    <w:trPr>
                      <w:gridAfter w:val="1"/>
                      <w:wAfter w:w="4079" w:type="dxa"/>
                      <w:cantSplit/>
                      <w:tblHeader/>
                    </w:trPr>
                    <w:tc>
                      <w:tcPr>
                        <w:tcW w:w="1092"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Equation</w:t>
                        </w:r>
                      </w:p>
                    </w:tc>
                    <w:tc>
                      <w:tcPr>
                        <w:tcW w:w="5119"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Model Summary</w:t>
                        </w:r>
                      </w:p>
                    </w:tc>
                  </w:tr>
                  <w:tr w:rsidR="00953E5C" w:rsidRPr="007C3CBB" w:rsidTr="0057023C">
                    <w:trPr>
                      <w:gridAfter w:val="1"/>
                      <w:wAfter w:w="4079" w:type="dxa"/>
                      <w:cantSplit/>
                      <w:tblHeader/>
                    </w:trPr>
                    <w:tc>
                      <w:tcPr>
                        <w:tcW w:w="1092"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240" w:lineRule="auto"/>
                          <w:rPr>
                            <w:rFonts w:ascii="Arial" w:hAnsi="Arial" w:cs="Arial"/>
                            <w:color w:val="000000"/>
                            <w:sz w:val="18"/>
                            <w:szCs w:val="18"/>
                          </w:rPr>
                        </w:pPr>
                      </w:p>
                    </w:tc>
                    <w:tc>
                      <w:tcPr>
                        <w:tcW w:w="108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R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F</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df1</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df2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7C3CBB" w:rsidRDefault="00953E5C" w:rsidP="0057023C">
                        <w:pPr>
                          <w:autoSpaceDE w:val="0"/>
                          <w:autoSpaceDN w:val="0"/>
                          <w:adjustRightInd w:val="0"/>
                          <w:spacing w:after="0" w:line="320" w:lineRule="atLeast"/>
                          <w:jc w:val="center"/>
                          <w:rPr>
                            <w:rFonts w:ascii="Arial" w:hAnsi="Arial" w:cs="Arial"/>
                            <w:color w:val="000000"/>
                            <w:sz w:val="18"/>
                            <w:szCs w:val="18"/>
                          </w:rPr>
                        </w:pPr>
                        <w:r w:rsidRPr="007C3CBB">
                          <w:rPr>
                            <w:rFonts w:ascii="Arial" w:hAnsi="Arial" w:cs="Arial"/>
                            <w:color w:val="000000"/>
                            <w:sz w:val="18"/>
                            <w:szCs w:val="18"/>
                          </w:rPr>
                          <w:t>Sig.</w:t>
                        </w:r>
                      </w:p>
                    </w:tc>
                  </w:tr>
                  <w:tr w:rsidR="00953E5C" w:rsidRPr="007C3CBB" w:rsidTr="0057023C">
                    <w:trPr>
                      <w:gridAfter w:val="1"/>
                      <w:wAfter w:w="4079" w:type="dxa"/>
                      <w:cantSplit/>
                      <w:tblHeader/>
                    </w:trPr>
                    <w:tc>
                      <w:tcPr>
                        <w:tcW w:w="109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Quadratic</w:t>
                        </w:r>
                      </w:p>
                    </w:tc>
                    <w:tc>
                      <w:tcPr>
                        <w:tcW w:w="10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.793</w:t>
                        </w:r>
                      </w:p>
                    </w:tc>
                    <w:tc>
                      <w:tcPr>
                        <w:tcW w:w="1009"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82.210</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2</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43</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.000</w:t>
                        </w:r>
                      </w:p>
                    </w:tc>
                  </w:tr>
                  <w:tr w:rsidR="00953E5C" w:rsidRPr="007C3CBB" w:rsidTr="0057023C">
                    <w:trPr>
                      <w:gridAfter w:val="1"/>
                      <w:wAfter w:w="4079" w:type="dxa"/>
                      <w:cantSplit/>
                      <w:tblHeader/>
                    </w:trPr>
                    <w:tc>
                      <w:tcPr>
                        <w:tcW w:w="109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Cubic</w:t>
                        </w:r>
                      </w:p>
                    </w:tc>
                    <w:tc>
                      <w:tcPr>
                        <w:tcW w:w="10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.808</w:t>
                        </w:r>
                      </w:p>
                    </w:tc>
                    <w:tc>
                      <w:tcPr>
                        <w:tcW w:w="1009"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58.884</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3</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42</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jc w:val="right"/>
                          <w:rPr>
                            <w:rFonts w:ascii="Arial" w:hAnsi="Arial" w:cs="Arial"/>
                            <w:color w:val="000000"/>
                            <w:sz w:val="18"/>
                            <w:szCs w:val="18"/>
                          </w:rPr>
                        </w:pPr>
                        <w:r w:rsidRPr="007C3CBB">
                          <w:rPr>
                            <w:rFonts w:ascii="Arial" w:hAnsi="Arial" w:cs="Arial"/>
                            <w:color w:val="000000"/>
                            <w:sz w:val="18"/>
                            <w:szCs w:val="18"/>
                          </w:rPr>
                          <w:t>.000</w:t>
                        </w:r>
                      </w:p>
                    </w:tc>
                  </w:tr>
                  <w:tr w:rsidR="00953E5C" w:rsidRPr="007C3CBB"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 xml:space="preserve">The independent variable is </w:t>
                        </w:r>
                        <w:proofErr w:type="spellStart"/>
                        <w:r w:rsidRPr="007C3CBB">
                          <w:rPr>
                            <w:rFonts w:ascii="Arial" w:hAnsi="Arial" w:cs="Arial"/>
                            <w:color w:val="000000"/>
                            <w:sz w:val="18"/>
                            <w:szCs w:val="18"/>
                          </w:rPr>
                          <w:t>fpi</w:t>
                        </w:r>
                        <w:proofErr w:type="spellEnd"/>
                        <w:r w:rsidRPr="007C3CBB">
                          <w:rPr>
                            <w:rFonts w:ascii="Arial" w:hAnsi="Arial" w:cs="Arial"/>
                            <w:color w:val="000000"/>
                            <w:sz w:val="18"/>
                            <w:szCs w:val="18"/>
                          </w:rPr>
                          <w:t xml:space="preserve"> score.</w:t>
                        </w:r>
                      </w:p>
                    </w:tc>
                  </w:tr>
                  <w:tr w:rsidR="00953E5C" w:rsidRPr="007C3CBB" w:rsidTr="0057023C">
                    <w:trPr>
                      <w:cantSplit/>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7C3CBB" w:rsidRDefault="00953E5C" w:rsidP="0057023C">
                        <w:pPr>
                          <w:autoSpaceDE w:val="0"/>
                          <w:autoSpaceDN w:val="0"/>
                          <w:adjustRightInd w:val="0"/>
                          <w:spacing w:after="0" w:line="320" w:lineRule="atLeast"/>
                          <w:rPr>
                            <w:rFonts w:ascii="Arial" w:hAnsi="Arial" w:cs="Arial"/>
                            <w:color w:val="000000"/>
                            <w:sz w:val="18"/>
                            <w:szCs w:val="18"/>
                          </w:rPr>
                        </w:pPr>
                        <w:r w:rsidRPr="007C3CBB">
                          <w:rPr>
                            <w:rFonts w:ascii="Arial" w:hAnsi="Arial" w:cs="Arial"/>
                            <w:color w:val="000000"/>
                            <w:sz w:val="18"/>
                            <w:szCs w:val="18"/>
                          </w:rPr>
                          <w:t>a. Sex = Female</w:t>
                        </w:r>
                      </w:p>
                    </w:tc>
                  </w:tr>
                </w:tbl>
                <w:p w:rsidR="00953E5C" w:rsidRDefault="00953E5C" w:rsidP="00953E5C"/>
              </w:txbxContent>
            </v:textbox>
          </v:shape>
        </w:pict>
      </w: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r>
        <w:rPr>
          <w:rFonts w:ascii="Times New Roman" w:hAnsi="Times New Roman" w:cs="Times New Roman"/>
          <w:noProof/>
          <w:sz w:val="24"/>
          <w:szCs w:val="24"/>
          <w:lang w:eastAsia="en-GB"/>
        </w:rPr>
        <w:drawing>
          <wp:inline distT="0" distB="0" distL="0" distR="0">
            <wp:extent cx="5574031" cy="4469809"/>
            <wp:effectExtent l="19050" t="0" r="7619"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 cstate="print"/>
                    <a:srcRect/>
                    <a:stretch>
                      <a:fillRect/>
                    </a:stretch>
                  </pic:blipFill>
                  <pic:spPr bwMode="auto">
                    <a:xfrm>
                      <a:off x="0" y="0"/>
                      <a:ext cx="5574031" cy="4469809"/>
                    </a:xfrm>
                    <a:prstGeom prst="rect">
                      <a:avLst/>
                    </a:prstGeom>
                    <a:noFill/>
                    <a:ln w="9525">
                      <a:noFill/>
                      <a:miter lim="800000"/>
                      <a:headEnd/>
                      <a:tailEnd/>
                    </a:ln>
                  </pic:spPr>
                </pic:pic>
              </a:graphicData>
            </a:graphic>
          </wp:inline>
        </w:drawing>
      </w:r>
    </w:p>
    <w:p w:rsidR="00953E5C" w:rsidRDefault="00953E5C" w:rsidP="00953E5C">
      <w:pPr>
        <w:pStyle w:val="Caption"/>
        <w:outlineLvl w:val="2"/>
      </w:pPr>
      <w:bookmarkStart w:id="31" w:name="_Toc216677190"/>
      <w:r>
        <w:t xml:space="preserve">Figure 6: </w:t>
      </w:r>
      <w:r w:rsidRPr="00F15ED4">
        <w:t xml:space="preserve">Quadratic and cubic regression of FPI and </w:t>
      </w:r>
      <w:r>
        <w:t>TOTALDL for</w:t>
      </w:r>
      <w:r w:rsidRPr="00F15ED4">
        <w:t xml:space="preserve"> </w:t>
      </w:r>
      <w:r>
        <w:t>fem</w:t>
      </w:r>
      <w:r w:rsidRPr="00F15ED4">
        <w:t>ale participants</w:t>
      </w:r>
      <w:bookmarkEnd w:id="31"/>
    </w:p>
    <w:p w:rsidR="00953E5C" w:rsidRDefault="007A16A5" w:rsidP="00953E5C">
      <w:pPr>
        <w:keepNext/>
        <w:autoSpaceDE w:val="0"/>
        <w:autoSpaceDN w:val="0"/>
        <w:adjustRightInd w:val="0"/>
        <w:spacing w:after="0" w:line="400" w:lineRule="atLeast"/>
      </w:pPr>
      <w:r w:rsidRPr="007A16A5">
        <w:rPr>
          <w:rFonts w:ascii="Times New Roman" w:hAnsi="Times New Roman" w:cs="Times New Roman"/>
          <w:noProof/>
          <w:sz w:val="24"/>
          <w:szCs w:val="24"/>
          <w:lang w:eastAsia="en-GB"/>
        </w:rPr>
        <w:lastRenderedPageBreak/>
        <w:pict>
          <v:shape id="_x0000_s1034" type="#_x0000_t202" style="position:absolute;margin-left:-4.5pt;margin-top:12.75pt;width:393pt;height:177pt;z-index:251668480" strokecolor="white [3212]">
            <v:textbox style="mso-next-textbox:#_x0000_s1034">
              <w:txbxContent>
                <w:tbl>
                  <w:tblPr>
                    <w:tblW w:w="10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92"/>
                    <w:gridCol w:w="1080"/>
                    <w:gridCol w:w="1009"/>
                    <w:gridCol w:w="1010"/>
                    <w:gridCol w:w="1010"/>
                    <w:gridCol w:w="1010"/>
                    <w:gridCol w:w="4079"/>
                  </w:tblGrid>
                  <w:tr w:rsidR="00953E5C" w:rsidRPr="0083448E"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center"/>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b/>
                            <w:bCs/>
                            <w:color w:val="000000"/>
                            <w:sz w:val="18"/>
                            <w:szCs w:val="18"/>
                          </w:rPr>
                          <w:t xml:space="preserve">Model Summary and Parameter </w:t>
                        </w:r>
                        <w:proofErr w:type="spellStart"/>
                        <w:r w:rsidRPr="0083448E">
                          <w:rPr>
                            <w:rFonts w:ascii="Arial" w:hAnsi="Arial" w:cs="Arial"/>
                            <w:b/>
                            <w:bCs/>
                            <w:color w:val="000000"/>
                            <w:sz w:val="18"/>
                            <w:szCs w:val="18"/>
                          </w:rPr>
                          <w:t>Estimates</w:t>
                        </w:r>
                        <w:r w:rsidRPr="0083448E">
                          <w:rPr>
                            <w:rFonts w:ascii="Arial" w:hAnsi="Arial" w:cs="Arial"/>
                            <w:b/>
                            <w:bCs/>
                            <w:color w:val="000000"/>
                            <w:sz w:val="18"/>
                            <w:szCs w:val="18"/>
                            <w:vertAlign w:val="superscript"/>
                          </w:rPr>
                          <w:t>a</w:t>
                        </w:r>
                        <w:proofErr w:type="spellEnd"/>
                      </w:p>
                    </w:tc>
                  </w:tr>
                  <w:tr w:rsidR="00953E5C" w:rsidRPr="0083448E"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 xml:space="preserve">Dependent </w:t>
                        </w:r>
                        <w:proofErr w:type="spellStart"/>
                        <w:r w:rsidRPr="0083448E">
                          <w:rPr>
                            <w:rFonts w:ascii="Arial" w:hAnsi="Arial" w:cs="Arial"/>
                            <w:color w:val="000000"/>
                            <w:sz w:val="18"/>
                            <w:szCs w:val="18"/>
                          </w:rPr>
                          <w:t>Variable:Injury</w:t>
                        </w:r>
                        <w:proofErr w:type="spellEnd"/>
                        <w:r w:rsidRPr="0083448E">
                          <w:rPr>
                            <w:rFonts w:ascii="Arial" w:hAnsi="Arial" w:cs="Arial"/>
                            <w:color w:val="000000"/>
                            <w:sz w:val="18"/>
                            <w:szCs w:val="18"/>
                          </w:rPr>
                          <w:t xml:space="preserve"> Rate</w:t>
                        </w:r>
                      </w:p>
                    </w:tc>
                  </w:tr>
                  <w:tr w:rsidR="00953E5C" w:rsidRPr="0083448E" w:rsidTr="0057023C">
                    <w:trPr>
                      <w:gridAfter w:val="1"/>
                      <w:wAfter w:w="4079" w:type="dxa"/>
                      <w:cantSplit/>
                      <w:tblHeader/>
                    </w:trPr>
                    <w:tc>
                      <w:tcPr>
                        <w:tcW w:w="1092"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Equation</w:t>
                        </w:r>
                      </w:p>
                    </w:tc>
                    <w:tc>
                      <w:tcPr>
                        <w:tcW w:w="5119"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Model Summary</w:t>
                        </w:r>
                      </w:p>
                    </w:tc>
                  </w:tr>
                  <w:tr w:rsidR="00953E5C" w:rsidRPr="0083448E" w:rsidTr="0057023C">
                    <w:trPr>
                      <w:gridAfter w:val="1"/>
                      <w:wAfter w:w="4079" w:type="dxa"/>
                      <w:cantSplit/>
                      <w:tblHeader/>
                    </w:trPr>
                    <w:tc>
                      <w:tcPr>
                        <w:tcW w:w="1092"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240" w:lineRule="auto"/>
                          <w:rPr>
                            <w:rFonts w:ascii="Arial" w:hAnsi="Arial" w:cs="Arial"/>
                            <w:color w:val="000000"/>
                            <w:sz w:val="18"/>
                            <w:szCs w:val="18"/>
                          </w:rPr>
                        </w:pPr>
                      </w:p>
                    </w:tc>
                    <w:tc>
                      <w:tcPr>
                        <w:tcW w:w="108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R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F</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df1</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df2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Sig.</w:t>
                        </w:r>
                      </w:p>
                    </w:tc>
                  </w:tr>
                  <w:tr w:rsidR="00953E5C" w:rsidRPr="0083448E" w:rsidTr="0057023C">
                    <w:trPr>
                      <w:gridAfter w:val="1"/>
                      <w:wAfter w:w="4079" w:type="dxa"/>
                      <w:cantSplit/>
                      <w:tblHeader/>
                    </w:trPr>
                    <w:tc>
                      <w:tcPr>
                        <w:tcW w:w="109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Quadratic</w:t>
                        </w:r>
                      </w:p>
                    </w:tc>
                    <w:tc>
                      <w:tcPr>
                        <w:tcW w:w="10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.370</w:t>
                        </w:r>
                      </w:p>
                    </w:tc>
                    <w:tc>
                      <w:tcPr>
                        <w:tcW w:w="1009"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13.782</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2</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47</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.000</w:t>
                        </w:r>
                      </w:p>
                    </w:tc>
                  </w:tr>
                  <w:tr w:rsidR="00953E5C" w:rsidRPr="0083448E" w:rsidTr="0057023C">
                    <w:trPr>
                      <w:gridAfter w:val="1"/>
                      <w:wAfter w:w="4079" w:type="dxa"/>
                      <w:cantSplit/>
                      <w:tblHeader/>
                    </w:trPr>
                    <w:tc>
                      <w:tcPr>
                        <w:tcW w:w="109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Cubic</w:t>
                        </w:r>
                      </w:p>
                    </w:tc>
                    <w:tc>
                      <w:tcPr>
                        <w:tcW w:w="10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.370</w:t>
                        </w:r>
                      </w:p>
                    </w:tc>
                    <w:tc>
                      <w:tcPr>
                        <w:tcW w:w="1009"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8.993</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3</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46</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.000</w:t>
                        </w:r>
                      </w:p>
                    </w:tc>
                  </w:tr>
                  <w:tr w:rsidR="00953E5C" w:rsidRPr="0083448E"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 xml:space="preserve">The independent variable is </w:t>
                        </w:r>
                        <w:proofErr w:type="spellStart"/>
                        <w:r w:rsidRPr="0083448E">
                          <w:rPr>
                            <w:rFonts w:ascii="Arial" w:hAnsi="Arial" w:cs="Arial"/>
                            <w:color w:val="000000"/>
                            <w:sz w:val="18"/>
                            <w:szCs w:val="18"/>
                          </w:rPr>
                          <w:t>fpi</w:t>
                        </w:r>
                        <w:proofErr w:type="spellEnd"/>
                        <w:r w:rsidRPr="0083448E">
                          <w:rPr>
                            <w:rFonts w:ascii="Arial" w:hAnsi="Arial" w:cs="Arial"/>
                            <w:color w:val="000000"/>
                            <w:sz w:val="18"/>
                            <w:szCs w:val="18"/>
                          </w:rPr>
                          <w:t xml:space="preserve"> score.</w:t>
                        </w:r>
                      </w:p>
                    </w:tc>
                  </w:tr>
                  <w:tr w:rsidR="00953E5C" w:rsidRPr="0083448E" w:rsidTr="0057023C">
                    <w:trPr>
                      <w:cantSplit/>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a. Sex = Male</w:t>
                        </w:r>
                      </w:p>
                    </w:tc>
                  </w:tr>
                </w:tbl>
                <w:p w:rsidR="00953E5C" w:rsidRDefault="00953E5C" w:rsidP="00953E5C"/>
              </w:txbxContent>
            </v:textbox>
          </v:shape>
        </w:pict>
      </w: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keepNext/>
        <w:autoSpaceDE w:val="0"/>
        <w:autoSpaceDN w:val="0"/>
        <w:adjustRightInd w:val="0"/>
        <w:spacing w:after="0" w:line="400" w:lineRule="atLeast"/>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keepNext/>
        <w:autoSpaceDE w:val="0"/>
        <w:autoSpaceDN w:val="0"/>
        <w:adjustRightInd w:val="0"/>
        <w:spacing w:after="0" w:line="400" w:lineRule="atLeast"/>
      </w:pPr>
      <w:r>
        <w:rPr>
          <w:rFonts w:ascii="Times New Roman" w:hAnsi="Times New Roman" w:cs="Times New Roman"/>
          <w:noProof/>
          <w:sz w:val="24"/>
          <w:szCs w:val="24"/>
          <w:lang w:eastAsia="en-GB"/>
        </w:rPr>
        <w:drawing>
          <wp:inline distT="0" distB="0" distL="0" distR="0">
            <wp:extent cx="5574031" cy="4469809"/>
            <wp:effectExtent l="19050" t="0" r="7619"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 cstate="print"/>
                    <a:srcRect/>
                    <a:stretch>
                      <a:fillRect/>
                    </a:stretch>
                  </pic:blipFill>
                  <pic:spPr bwMode="auto">
                    <a:xfrm>
                      <a:off x="0" y="0"/>
                      <a:ext cx="5574031" cy="4469809"/>
                    </a:xfrm>
                    <a:prstGeom prst="rect">
                      <a:avLst/>
                    </a:prstGeom>
                    <a:noFill/>
                    <a:ln w="9525">
                      <a:noFill/>
                      <a:miter lim="800000"/>
                      <a:headEnd/>
                      <a:tailEnd/>
                    </a:ln>
                  </pic:spPr>
                </pic:pic>
              </a:graphicData>
            </a:graphic>
          </wp:inline>
        </w:drawing>
      </w:r>
    </w:p>
    <w:p w:rsidR="00953E5C" w:rsidRDefault="00953E5C" w:rsidP="00953E5C">
      <w:pPr>
        <w:pStyle w:val="Caption"/>
        <w:outlineLvl w:val="2"/>
        <w:rPr>
          <w:rFonts w:ascii="Times New Roman" w:hAnsi="Times New Roman" w:cs="Times New Roman"/>
          <w:sz w:val="24"/>
          <w:szCs w:val="24"/>
        </w:rPr>
      </w:pPr>
      <w:bookmarkStart w:id="32" w:name="_Toc216677191"/>
      <w:r>
        <w:t>Figure 7:</w:t>
      </w:r>
      <w:r w:rsidRPr="00E1298C">
        <w:t xml:space="preserve"> Quadratic and cubic regression of FPI an</w:t>
      </w:r>
      <w:r>
        <w:t>d IR for m</w:t>
      </w:r>
      <w:r w:rsidRPr="00E1298C">
        <w:t>ale participants</w:t>
      </w:r>
      <w:bookmarkEnd w:id="32"/>
    </w:p>
    <w:p w:rsidR="00953E5C" w:rsidRDefault="00953E5C" w:rsidP="00953E5C">
      <w:pPr>
        <w:rPr>
          <w:rFonts w:ascii="Times New Roman" w:hAnsi="Times New Roman" w:cs="Times New Roman"/>
          <w:sz w:val="24"/>
          <w:szCs w:val="24"/>
        </w:rPr>
      </w:pPr>
      <w:r>
        <w:rPr>
          <w:rFonts w:ascii="Times New Roman" w:hAnsi="Times New Roman" w:cs="Times New Roman"/>
          <w:sz w:val="24"/>
          <w:szCs w:val="24"/>
        </w:rPr>
        <w:br w:type="page"/>
      </w:r>
    </w:p>
    <w:p w:rsidR="00953E5C" w:rsidRPr="0083448E" w:rsidRDefault="00953E5C" w:rsidP="00953E5C">
      <w:pPr>
        <w:autoSpaceDE w:val="0"/>
        <w:autoSpaceDN w:val="0"/>
        <w:adjustRightInd w:val="0"/>
        <w:spacing w:after="0" w:line="400" w:lineRule="atLeast"/>
        <w:rPr>
          <w:rFonts w:ascii="Times New Roman" w:hAnsi="Times New Roman" w:cs="Times New Roman"/>
          <w:sz w:val="24"/>
          <w:szCs w:val="24"/>
        </w:rPr>
      </w:pPr>
    </w:p>
    <w:p w:rsidR="00953E5C" w:rsidRDefault="007A16A5" w:rsidP="00953E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w:pict>
          <v:shape id="_x0000_s1029" type="#_x0000_t202" style="position:absolute;margin-left:3pt;margin-top:.75pt;width:438pt;height:180pt;z-index:251663360" strokecolor="white [3212]">
            <v:textbox style="mso-next-textbox:#_x0000_s1029">
              <w:txbxContent>
                <w:tbl>
                  <w:tblPr>
                    <w:tblW w:w="102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92"/>
                    <w:gridCol w:w="1080"/>
                    <w:gridCol w:w="1009"/>
                    <w:gridCol w:w="1010"/>
                    <w:gridCol w:w="1010"/>
                    <w:gridCol w:w="1010"/>
                    <w:gridCol w:w="4079"/>
                  </w:tblGrid>
                  <w:tr w:rsidR="00953E5C" w:rsidRPr="0083448E"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center"/>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b/>
                            <w:bCs/>
                            <w:color w:val="000000"/>
                            <w:sz w:val="18"/>
                            <w:szCs w:val="18"/>
                          </w:rPr>
                          <w:t xml:space="preserve">Model Summary and Parameter </w:t>
                        </w:r>
                        <w:proofErr w:type="spellStart"/>
                        <w:r w:rsidRPr="0083448E">
                          <w:rPr>
                            <w:rFonts w:ascii="Arial" w:hAnsi="Arial" w:cs="Arial"/>
                            <w:b/>
                            <w:bCs/>
                            <w:color w:val="000000"/>
                            <w:sz w:val="18"/>
                            <w:szCs w:val="18"/>
                          </w:rPr>
                          <w:t>Estimates</w:t>
                        </w:r>
                        <w:r w:rsidRPr="0083448E">
                          <w:rPr>
                            <w:rFonts w:ascii="Arial" w:hAnsi="Arial" w:cs="Arial"/>
                            <w:b/>
                            <w:bCs/>
                            <w:color w:val="000000"/>
                            <w:sz w:val="18"/>
                            <w:szCs w:val="18"/>
                            <w:vertAlign w:val="superscript"/>
                          </w:rPr>
                          <w:t>a</w:t>
                        </w:r>
                        <w:proofErr w:type="spellEnd"/>
                      </w:p>
                    </w:tc>
                  </w:tr>
                  <w:tr w:rsidR="00953E5C" w:rsidRPr="0083448E"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 xml:space="preserve">Dependent </w:t>
                        </w:r>
                        <w:proofErr w:type="spellStart"/>
                        <w:r w:rsidRPr="0083448E">
                          <w:rPr>
                            <w:rFonts w:ascii="Arial" w:hAnsi="Arial" w:cs="Arial"/>
                            <w:color w:val="000000"/>
                            <w:sz w:val="18"/>
                            <w:szCs w:val="18"/>
                          </w:rPr>
                          <w:t>Variable:Injury</w:t>
                        </w:r>
                        <w:proofErr w:type="spellEnd"/>
                        <w:r w:rsidRPr="0083448E">
                          <w:rPr>
                            <w:rFonts w:ascii="Arial" w:hAnsi="Arial" w:cs="Arial"/>
                            <w:color w:val="000000"/>
                            <w:sz w:val="18"/>
                            <w:szCs w:val="18"/>
                          </w:rPr>
                          <w:t xml:space="preserve"> Rate</w:t>
                        </w:r>
                      </w:p>
                    </w:tc>
                  </w:tr>
                  <w:tr w:rsidR="00953E5C" w:rsidRPr="0083448E" w:rsidTr="0057023C">
                    <w:trPr>
                      <w:gridAfter w:val="1"/>
                      <w:wAfter w:w="4079" w:type="dxa"/>
                      <w:cantSplit/>
                      <w:tblHeader/>
                    </w:trPr>
                    <w:tc>
                      <w:tcPr>
                        <w:tcW w:w="1092"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Equation</w:t>
                        </w:r>
                      </w:p>
                    </w:tc>
                    <w:tc>
                      <w:tcPr>
                        <w:tcW w:w="5119"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Model Summary</w:t>
                        </w:r>
                      </w:p>
                    </w:tc>
                  </w:tr>
                  <w:tr w:rsidR="00953E5C" w:rsidRPr="0083448E" w:rsidTr="0057023C">
                    <w:trPr>
                      <w:gridAfter w:val="1"/>
                      <w:wAfter w:w="4079" w:type="dxa"/>
                      <w:cantSplit/>
                      <w:tblHeader/>
                    </w:trPr>
                    <w:tc>
                      <w:tcPr>
                        <w:tcW w:w="1092"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240" w:lineRule="auto"/>
                          <w:rPr>
                            <w:rFonts w:ascii="Arial" w:hAnsi="Arial" w:cs="Arial"/>
                            <w:color w:val="000000"/>
                            <w:sz w:val="18"/>
                            <w:szCs w:val="18"/>
                          </w:rPr>
                        </w:pPr>
                      </w:p>
                    </w:tc>
                    <w:tc>
                      <w:tcPr>
                        <w:tcW w:w="108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R Square</w:t>
                        </w:r>
                      </w:p>
                    </w:tc>
                    <w:tc>
                      <w:tcPr>
                        <w:tcW w:w="1009"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F</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df1</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df2</w:t>
                        </w:r>
                      </w:p>
                    </w:tc>
                    <w:tc>
                      <w:tcPr>
                        <w:tcW w:w="1010" w:type="dxa"/>
                        <w:tcBorders>
                          <w:bottom w:val="single" w:sz="16" w:space="0" w:color="000000"/>
                        </w:tcBorders>
                        <w:shd w:val="clear" w:color="auto" w:fill="FFFFFF"/>
                        <w:tcMar>
                          <w:top w:w="30" w:type="dxa"/>
                          <w:left w:w="30" w:type="dxa"/>
                          <w:bottom w:w="30" w:type="dxa"/>
                          <w:right w:w="30" w:type="dxa"/>
                        </w:tcMar>
                        <w:vAlign w:val="bottom"/>
                      </w:tcPr>
                      <w:p w:rsidR="00953E5C" w:rsidRPr="0083448E" w:rsidRDefault="00953E5C" w:rsidP="0057023C">
                        <w:pPr>
                          <w:autoSpaceDE w:val="0"/>
                          <w:autoSpaceDN w:val="0"/>
                          <w:adjustRightInd w:val="0"/>
                          <w:spacing w:after="0" w:line="320" w:lineRule="atLeast"/>
                          <w:jc w:val="center"/>
                          <w:rPr>
                            <w:rFonts w:ascii="Arial" w:hAnsi="Arial" w:cs="Arial"/>
                            <w:color w:val="000000"/>
                            <w:sz w:val="18"/>
                            <w:szCs w:val="18"/>
                          </w:rPr>
                        </w:pPr>
                        <w:r w:rsidRPr="0083448E">
                          <w:rPr>
                            <w:rFonts w:ascii="Arial" w:hAnsi="Arial" w:cs="Arial"/>
                            <w:color w:val="000000"/>
                            <w:sz w:val="18"/>
                            <w:szCs w:val="18"/>
                          </w:rPr>
                          <w:t>Sig.</w:t>
                        </w:r>
                      </w:p>
                    </w:tc>
                  </w:tr>
                  <w:tr w:rsidR="00953E5C" w:rsidRPr="0083448E" w:rsidTr="0057023C">
                    <w:trPr>
                      <w:gridAfter w:val="1"/>
                      <w:wAfter w:w="4079" w:type="dxa"/>
                      <w:cantSplit/>
                      <w:tblHeader/>
                    </w:trPr>
                    <w:tc>
                      <w:tcPr>
                        <w:tcW w:w="109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Quadratic</w:t>
                        </w:r>
                      </w:p>
                    </w:tc>
                    <w:tc>
                      <w:tcPr>
                        <w:tcW w:w="10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.562</w:t>
                        </w:r>
                      </w:p>
                    </w:tc>
                    <w:tc>
                      <w:tcPr>
                        <w:tcW w:w="1009"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27.546</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2</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43</w:t>
                        </w:r>
                      </w:p>
                    </w:tc>
                    <w:tc>
                      <w:tcPr>
                        <w:tcW w:w="1010" w:type="dxa"/>
                        <w:tcBorders>
                          <w:top w:val="single" w:sz="16" w:space="0" w:color="000000"/>
                          <w:bottom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.000</w:t>
                        </w:r>
                      </w:p>
                    </w:tc>
                  </w:tr>
                  <w:tr w:rsidR="00953E5C" w:rsidRPr="0083448E" w:rsidTr="0057023C">
                    <w:trPr>
                      <w:gridAfter w:val="1"/>
                      <w:wAfter w:w="4079" w:type="dxa"/>
                      <w:cantSplit/>
                      <w:tblHeader/>
                    </w:trPr>
                    <w:tc>
                      <w:tcPr>
                        <w:tcW w:w="109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Cubic</w:t>
                        </w:r>
                      </w:p>
                    </w:tc>
                    <w:tc>
                      <w:tcPr>
                        <w:tcW w:w="10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.595</w:t>
                        </w:r>
                      </w:p>
                    </w:tc>
                    <w:tc>
                      <w:tcPr>
                        <w:tcW w:w="1009"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20.544</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3</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42</w:t>
                        </w:r>
                      </w:p>
                    </w:tc>
                    <w:tc>
                      <w:tcPr>
                        <w:tcW w:w="1010" w:type="dxa"/>
                        <w:tcBorders>
                          <w:top w:val="nil"/>
                          <w:bottom w:val="single" w:sz="16" w:space="0" w:color="000000"/>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jc w:val="right"/>
                          <w:rPr>
                            <w:rFonts w:ascii="Arial" w:hAnsi="Arial" w:cs="Arial"/>
                            <w:color w:val="000000"/>
                            <w:sz w:val="18"/>
                            <w:szCs w:val="18"/>
                          </w:rPr>
                        </w:pPr>
                        <w:r w:rsidRPr="0083448E">
                          <w:rPr>
                            <w:rFonts w:ascii="Arial" w:hAnsi="Arial" w:cs="Arial"/>
                            <w:color w:val="000000"/>
                            <w:sz w:val="18"/>
                            <w:szCs w:val="18"/>
                          </w:rPr>
                          <w:t>.000</w:t>
                        </w:r>
                      </w:p>
                    </w:tc>
                  </w:tr>
                  <w:tr w:rsidR="00953E5C" w:rsidRPr="0083448E" w:rsidTr="0057023C">
                    <w:trPr>
                      <w:cantSplit/>
                      <w:tblHeader/>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 xml:space="preserve">The independent variable is </w:t>
                        </w:r>
                        <w:proofErr w:type="spellStart"/>
                        <w:r w:rsidRPr="0083448E">
                          <w:rPr>
                            <w:rFonts w:ascii="Arial" w:hAnsi="Arial" w:cs="Arial"/>
                            <w:color w:val="000000"/>
                            <w:sz w:val="18"/>
                            <w:szCs w:val="18"/>
                          </w:rPr>
                          <w:t>fpi</w:t>
                        </w:r>
                        <w:proofErr w:type="spellEnd"/>
                        <w:r w:rsidRPr="0083448E">
                          <w:rPr>
                            <w:rFonts w:ascii="Arial" w:hAnsi="Arial" w:cs="Arial"/>
                            <w:color w:val="000000"/>
                            <w:sz w:val="18"/>
                            <w:szCs w:val="18"/>
                          </w:rPr>
                          <w:t xml:space="preserve"> score.</w:t>
                        </w:r>
                      </w:p>
                    </w:tc>
                  </w:tr>
                  <w:tr w:rsidR="00953E5C" w:rsidRPr="0083448E" w:rsidTr="0057023C">
                    <w:trPr>
                      <w:cantSplit/>
                    </w:trPr>
                    <w:tc>
                      <w:tcPr>
                        <w:tcW w:w="10290" w:type="dxa"/>
                        <w:gridSpan w:val="7"/>
                        <w:tcBorders>
                          <w:top w:val="nil"/>
                          <w:left w:val="nil"/>
                          <w:bottom w:val="nil"/>
                          <w:right w:val="nil"/>
                        </w:tcBorders>
                        <w:shd w:val="clear" w:color="auto" w:fill="FFFFFF"/>
                        <w:tcMar>
                          <w:top w:w="30" w:type="dxa"/>
                          <w:left w:w="30" w:type="dxa"/>
                          <w:bottom w:w="30" w:type="dxa"/>
                          <w:right w:w="30" w:type="dxa"/>
                        </w:tcMar>
                      </w:tcPr>
                      <w:p w:rsidR="00953E5C" w:rsidRPr="0083448E" w:rsidRDefault="00953E5C" w:rsidP="0057023C">
                        <w:pPr>
                          <w:autoSpaceDE w:val="0"/>
                          <w:autoSpaceDN w:val="0"/>
                          <w:adjustRightInd w:val="0"/>
                          <w:spacing w:after="0" w:line="320" w:lineRule="atLeast"/>
                          <w:rPr>
                            <w:rFonts w:ascii="Arial" w:hAnsi="Arial" w:cs="Arial"/>
                            <w:color w:val="000000"/>
                            <w:sz w:val="18"/>
                            <w:szCs w:val="18"/>
                          </w:rPr>
                        </w:pPr>
                        <w:r w:rsidRPr="0083448E">
                          <w:rPr>
                            <w:rFonts w:ascii="Arial" w:hAnsi="Arial" w:cs="Arial"/>
                            <w:color w:val="000000"/>
                            <w:sz w:val="18"/>
                            <w:szCs w:val="18"/>
                          </w:rPr>
                          <w:t>a. Sex = Female</w:t>
                        </w:r>
                      </w:p>
                    </w:tc>
                  </w:tr>
                </w:tbl>
                <w:p w:rsidR="00953E5C" w:rsidRDefault="00953E5C" w:rsidP="00953E5C"/>
              </w:txbxContent>
            </v:textbox>
          </v:shape>
        </w:pict>
      </w: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autoSpaceDE w:val="0"/>
        <w:autoSpaceDN w:val="0"/>
        <w:adjustRightInd w:val="0"/>
        <w:spacing w:after="0" w:line="240" w:lineRule="auto"/>
        <w:rPr>
          <w:rFonts w:ascii="Times New Roman" w:hAnsi="Times New Roman" w:cs="Times New Roman"/>
          <w:sz w:val="24"/>
          <w:szCs w:val="24"/>
        </w:rPr>
      </w:pPr>
    </w:p>
    <w:p w:rsidR="00953E5C" w:rsidRDefault="00953E5C" w:rsidP="00953E5C">
      <w:pPr>
        <w:keepNext/>
        <w:autoSpaceDE w:val="0"/>
        <w:autoSpaceDN w:val="0"/>
        <w:adjustRightInd w:val="0"/>
        <w:spacing w:after="0" w:line="400" w:lineRule="atLeast"/>
      </w:pPr>
      <w:r>
        <w:rPr>
          <w:rFonts w:ascii="Times New Roman" w:hAnsi="Times New Roman" w:cs="Times New Roman"/>
          <w:noProof/>
          <w:sz w:val="24"/>
          <w:szCs w:val="24"/>
          <w:lang w:eastAsia="en-GB"/>
        </w:rPr>
        <w:drawing>
          <wp:inline distT="0" distB="0" distL="0" distR="0">
            <wp:extent cx="5574031" cy="4469809"/>
            <wp:effectExtent l="19050" t="0" r="7619"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cstate="print"/>
                    <a:srcRect/>
                    <a:stretch>
                      <a:fillRect/>
                    </a:stretch>
                  </pic:blipFill>
                  <pic:spPr bwMode="auto">
                    <a:xfrm>
                      <a:off x="0" y="0"/>
                      <a:ext cx="5574031" cy="4469809"/>
                    </a:xfrm>
                    <a:prstGeom prst="rect">
                      <a:avLst/>
                    </a:prstGeom>
                    <a:noFill/>
                    <a:ln w="9525">
                      <a:noFill/>
                      <a:miter lim="800000"/>
                      <a:headEnd/>
                      <a:tailEnd/>
                    </a:ln>
                  </pic:spPr>
                </pic:pic>
              </a:graphicData>
            </a:graphic>
          </wp:inline>
        </w:drawing>
      </w:r>
    </w:p>
    <w:p w:rsidR="00953E5C" w:rsidRPr="0083448E" w:rsidRDefault="00953E5C" w:rsidP="00953E5C">
      <w:pPr>
        <w:pStyle w:val="Caption"/>
        <w:outlineLvl w:val="2"/>
        <w:rPr>
          <w:rFonts w:ascii="Times New Roman" w:hAnsi="Times New Roman" w:cs="Times New Roman"/>
          <w:sz w:val="24"/>
          <w:szCs w:val="24"/>
        </w:rPr>
      </w:pPr>
      <w:bookmarkStart w:id="33" w:name="_Toc216677192"/>
      <w:r>
        <w:t>Figure 8:</w:t>
      </w:r>
      <w:r w:rsidRPr="00060F25">
        <w:t xml:space="preserve"> Quadratic and cubic reg</w:t>
      </w:r>
      <w:r>
        <w:t>ression of FPI and IR for fem</w:t>
      </w:r>
      <w:r w:rsidRPr="00060F25">
        <w:t>ale participants</w:t>
      </w:r>
      <w:bookmarkEnd w:id="33"/>
    </w:p>
    <w:p w:rsidR="00953E5C" w:rsidRDefault="00953E5C" w:rsidP="00953E5C">
      <w:r>
        <w:br w:type="page"/>
      </w:r>
    </w:p>
    <w:p w:rsidR="00953E5C" w:rsidRPr="00976B4A" w:rsidRDefault="00953E5C" w:rsidP="00953E5C">
      <w:pPr>
        <w:pStyle w:val="Heading1"/>
      </w:pPr>
      <w:bookmarkStart w:id="34" w:name="_Toc216677193"/>
      <w:r w:rsidRPr="00976B4A">
        <w:lastRenderedPageBreak/>
        <w:t>Trends and patterns identified</w:t>
      </w:r>
      <w:bookmarkEnd w:id="34"/>
    </w:p>
    <w:p w:rsidR="00953E5C" w:rsidRDefault="00953E5C" w:rsidP="00953E5C">
      <w:pPr>
        <w:pStyle w:val="NoSpacing"/>
        <w:spacing w:line="360" w:lineRule="auto"/>
        <w:rPr>
          <w:sz w:val="24"/>
          <w:szCs w:val="24"/>
        </w:rPr>
      </w:pPr>
      <w:r w:rsidRPr="00B3206B">
        <w:rPr>
          <w:sz w:val="24"/>
          <w:szCs w:val="24"/>
        </w:rPr>
        <w:t>When viewed in a non</w:t>
      </w:r>
      <w:r>
        <w:rPr>
          <w:sz w:val="24"/>
          <w:szCs w:val="24"/>
        </w:rPr>
        <w:t>-</w:t>
      </w:r>
      <w:r w:rsidRPr="00B3206B">
        <w:rPr>
          <w:sz w:val="24"/>
          <w:szCs w:val="24"/>
        </w:rPr>
        <w:t xml:space="preserve">critical way it seems that there </w:t>
      </w:r>
      <w:r>
        <w:rPr>
          <w:sz w:val="24"/>
          <w:szCs w:val="24"/>
        </w:rPr>
        <w:t xml:space="preserve">is some correlation </w:t>
      </w:r>
      <w:r w:rsidRPr="00B3206B">
        <w:rPr>
          <w:sz w:val="24"/>
          <w:szCs w:val="24"/>
        </w:rPr>
        <w:t xml:space="preserve">between the FPI scores and both </w:t>
      </w:r>
      <w:r>
        <w:rPr>
          <w:sz w:val="24"/>
          <w:szCs w:val="24"/>
        </w:rPr>
        <w:t>injury incidence r</w:t>
      </w:r>
      <w:r w:rsidRPr="00B3206B">
        <w:rPr>
          <w:sz w:val="24"/>
          <w:szCs w:val="24"/>
        </w:rPr>
        <w:t xml:space="preserve">ate and </w:t>
      </w:r>
      <w:r>
        <w:rPr>
          <w:sz w:val="24"/>
          <w:szCs w:val="24"/>
        </w:rPr>
        <w:t>severity</w:t>
      </w:r>
      <w:r w:rsidRPr="00B3206B">
        <w:rPr>
          <w:sz w:val="24"/>
          <w:szCs w:val="24"/>
        </w:rPr>
        <w:t xml:space="preserve">. </w:t>
      </w:r>
    </w:p>
    <w:p w:rsidR="00953E5C" w:rsidRDefault="00953E5C" w:rsidP="00953E5C">
      <w:pPr>
        <w:pStyle w:val="NoSpacing"/>
        <w:spacing w:line="360" w:lineRule="auto"/>
        <w:rPr>
          <w:sz w:val="24"/>
          <w:szCs w:val="24"/>
        </w:rPr>
      </w:pPr>
    </w:p>
    <w:p w:rsidR="00953E5C" w:rsidRDefault="00953E5C" w:rsidP="00953E5C">
      <w:pPr>
        <w:pStyle w:val="NoSpacing"/>
        <w:spacing w:line="360" w:lineRule="auto"/>
        <w:rPr>
          <w:rFonts w:cs="Arial"/>
          <w:color w:val="000000"/>
          <w:sz w:val="24"/>
          <w:szCs w:val="24"/>
        </w:rPr>
      </w:pPr>
      <w:r w:rsidRPr="00B3206B">
        <w:rPr>
          <w:sz w:val="24"/>
          <w:szCs w:val="24"/>
        </w:rPr>
        <w:t xml:space="preserve">When spilt into positive and negative FPI scores, the male data analysed with Pearson’s correlation show scores of </w:t>
      </w:r>
      <w:r w:rsidRPr="00B3206B">
        <w:rPr>
          <w:rFonts w:cs="Arial"/>
          <w:color w:val="000000"/>
          <w:sz w:val="24"/>
          <w:szCs w:val="24"/>
        </w:rPr>
        <w:t xml:space="preserve">.746 between positive FPI and </w:t>
      </w:r>
      <w:r>
        <w:rPr>
          <w:rFonts w:cs="Arial"/>
          <w:color w:val="000000"/>
          <w:sz w:val="24"/>
          <w:szCs w:val="24"/>
        </w:rPr>
        <w:t>TOTALDL</w:t>
      </w:r>
      <w:r w:rsidRPr="00B3206B">
        <w:rPr>
          <w:rFonts w:cs="Arial"/>
          <w:color w:val="000000"/>
          <w:sz w:val="24"/>
          <w:szCs w:val="24"/>
        </w:rPr>
        <w:t xml:space="preserve">, and .590 between positive FPI and </w:t>
      </w:r>
      <w:r>
        <w:rPr>
          <w:rFonts w:cs="Arial"/>
          <w:color w:val="000000"/>
          <w:sz w:val="24"/>
          <w:szCs w:val="24"/>
        </w:rPr>
        <w:t>IR</w:t>
      </w:r>
      <w:r w:rsidRPr="00B3206B">
        <w:rPr>
          <w:rFonts w:cs="Arial"/>
          <w:color w:val="000000"/>
          <w:sz w:val="24"/>
          <w:szCs w:val="24"/>
        </w:rPr>
        <w:t xml:space="preserve">. Both of these figures have a statistically valid significance of less than .001 (See table </w:t>
      </w:r>
      <w:r>
        <w:rPr>
          <w:rFonts w:cs="Arial"/>
          <w:color w:val="000000"/>
          <w:sz w:val="24"/>
          <w:szCs w:val="24"/>
        </w:rPr>
        <w:t>2</w:t>
      </w:r>
      <w:r w:rsidRPr="00B3206B">
        <w:rPr>
          <w:rFonts w:cs="Arial"/>
          <w:color w:val="000000"/>
          <w:sz w:val="24"/>
          <w:szCs w:val="24"/>
        </w:rPr>
        <w:t xml:space="preserve">). Likewise the female data shows figures of .694 (FPI &amp; TOTALDL) and .676 (FPI &amp; IR) respectively, all with a statistically valid significance of less than .001 (See table </w:t>
      </w:r>
      <w:r>
        <w:rPr>
          <w:rFonts w:cs="Arial"/>
          <w:color w:val="000000"/>
          <w:sz w:val="24"/>
          <w:szCs w:val="24"/>
        </w:rPr>
        <w:t>3</w:t>
      </w:r>
      <w:r w:rsidRPr="00B3206B">
        <w:rPr>
          <w:rFonts w:cs="Arial"/>
          <w:color w:val="000000"/>
          <w:sz w:val="24"/>
          <w:szCs w:val="24"/>
        </w:rPr>
        <w:t xml:space="preserve">). </w:t>
      </w:r>
      <w:r>
        <w:rPr>
          <w:rFonts w:cs="Arial"/>
          <w:color w:val="000000"/>
          <w:sz w:val="24"/>
          <w:szCs w:val="24"/>
        </w:rPr>
        <w:t>Therefore</w:t>
      </w:r>
      <w:r w:rsidRPr="00B3206B">
        <w:rPr>
          <w:rFonts w:cs="Arial"/>
          <w:color w:val="000000"/>
          <w:sz w:val="24"/>
          <w:szCs w:val="24"/>
        </w:rPr>
        <w:t xml:space="preserve"> it does seem likely that as both male and female runners FPI score increase</w:t>
      </w:r>
      <w:r>
        <w:rPr>
          <w:rFonts w:cs="Arial"/>
          <w:color w:val="000000"/>
          <w:sz w:val="24"/>
          <w:szCs w:val="24"/>
        </w:rPr>
        <w:t>,</w:t>
      </w:r>
      <w:r w:rsidRPr="00B3206B">
        <w:rPr>
          <w:rFonts w:cs="Arial"/>
          <w:color w:val="000000"/>
          <w:sz w:val="24"/>
          <w:szCs w:val="24"/>
        </w:rPr>
        <w:t xml:space="preserve"> the frequency and severity of injury also increases.</w:t>
      </w:r>
    </w:p>
    <w:p w:rsidR="00953E5C" w:rsidRDefault="00953E5C" w:rsidP="00953E5C">
      <w:pPr>
        <w:pStyle w:val="NoSpacing"/>
        <w:spacing w:line="360" w:lineRule="auto"/>
        <w:rPr>
          <w:rFonts w:cs="Arial"/>
          <w:color w:val="000000"/>
          <w:sz w:val="24"/>
          <w:szCs w:val="24"/>
        </w:rPr>
      </w:pPr>
    </w:p>
    <w:p w:rsidR="00953E5C" w:rsidRDefault="00953E5C" w:rsidP="00953E5C">
      <w:pPr>
        <w:pStyle w:val="NoSpacing"/>
        <w:spacing w:line="360" w:lineRule="auto"/>
        <w:rPr>
          <w:rFonts w:cs="Arial"/>
          <w:color w:val="000000"/>
          <w:sz w:val="24"/>
          <w:szCs w:val="24"/>
        </w:rPr>
      </w:pPr>
      <w:r w:rsidRPr="00B3206B">
        <w:rPr>
          <w:rFonts w:cs="Arial"/>
          <w:color w:val="000000"/>
          <w:sz w:val="24"/>
          <w:szCs w:val="24"/>
        </w:rPr>
        <w:t xml:space="preserve">It is more difficult to </w:t>
      </w:r>
      <w:r>
        <w:rPr>
          <w:rFonts w:cs="Arial"/>
          <w:color w:val="000000"/>
          <w:sz w:val="24"/>
          <w:szCs w:val="24"/>
        </w:rPr>
        <w:t>derive</w:t>
      </w:r>
      <w:r w:rsidRPr="00B3206B">
        <w:rPr>
          <w:rFonts w:cs="Arial"/>
          <w:color w:val="000000"/>
          <w:sz w:val="24"/>
          <w:szCs w:val="24"/>
        </w:rPr>
        <w:t xml:space="preserve"> anything from the negative FPI scores as the small data set </w:t>
      </w:r>
      <w:r>
        <w:rPr>
          <w:rFonts w:cs="Arial"/>
          <w:color w:val="000000"/>
          <w:sz w:val="24"/>
          <w:szCs w:val="24"/>
        </w:rPr>
        <w:t>reduces the statistical validity, h</w:t>
      </w:r>
      <w:r w:rsidRPr="00B3206B">
        <w:rPr>
          <w:rFonts w:cs="Arial"/>
          <w:color w:val="000000"/>
          <w:sz w:val="24"/>
          <w:szCs w:val="24"/>
        </w:rPr>
        <w:t xml:space="preserve">owever there does seem to be a relationship between </w:t>
      </w:r>
      <w:r>
        <w:rPr>
          <w:rFonts w:cs="Arial"/>
          <w:color w:val="000000"/>
          <w:sz w:val="24"/>
          <w:szCs w:val="24"/>
        </w:rPr>
        <w:t>these variables for both male and f</w:t>
      </w:r>
      <w:r w:rsidRPr="00B3206B">
        <w:rPr>
          <w:rFonts w:cs="Arial"/>
          <w:color w:val="000000"/>
          <w:sz w:val="24"/>
          <w:szCs w:val="24"/>
        </w:rPr>
        <w:t xml:space="preserve">emale runners (see tables 4 and 5), albeit with poor statistical validity due to the low power in the datasets. </w:t>
      </w:r>
    </w:p>
    <w:p w:rsidR="00953E5C" w:rsidRDefault="00953E5C" w:rsidP="00953E5C">
      <w:pPr>
        <w:pStyle w:val="NoSpacing"/>
        <w:spacing w:line="360" w:lineRule="auto"/>
        <w:rPr>
          <w:rFonts w:cs="Arial"/>
          <w:color w:val="000000"/>
          <w:sz w:val="24"/>
          <w:szCs w:val="24"/>
        </w:rPr>
      </w:pPr>
    </w:p>
    <w:p w:rsidR="00953E5C" w:rsidRDefault="00953E5C" w:rsidP="00953E5C">
      <w:pPr>
        <w:pStyle w:val="NoSpacing"/>
        <w:spacing w:line="360" w:lineRule="auto"/>
        <w:rPr>
          <w:rFonts w:cs="Arial"/>
          <w:color w:val="000000"/>
          <w:sz w:val="24"/>
          <w:szCs w:val="24"/>
        </w:rPr>
      </w:pPr>
      <w:r w:rsidRPr="00B3206B">
        <w:rPr>
          <w:rFonts w:cs="Arial"/>
          <w:color w:val="000000"/>
          <w:sz w:val="24"/>
          <w:szCs w:val="24"/>
        </w:rPr>
        <w:t>One of the major differences between the male and female participants is the lower R squared value in the FPI/IR regression for male participants</w:t>
      </w:r>
      <w:r>
        <w:rPr>
          <w:rFonts w:cs="Arial"/>
          <w:color w:val="000000"/>
          <w:sz w:val="24"/>
          <w:szCs w:val="24"/>
        </w:rPr>
        <w:t>, which can be explained by</w:t>
      </w:r>
      <w:r w:rsidRPr="00B3206B">
        <w:rPr>
          <w:rFonts w:cs="Arial"/>
          <w:color w:val="000000"/>
          <w:sz w:val="24"/>
          <w:szCs w:val="24"/>
        </w:rPr>
        <w:t xml:space="preserve"> male participants </w:t>
      </w:r>
      <w:r>
        <w:rPr>
          <w:rFonts w:cs="Arial"/>
          <w:color w:val="000000"/>
          <w:sz w:val="24"/>
          <w:szCs w:val="24"/>
        </w:rPr>
        <w:t>running</w:t>
      </w:r>
      <w:r w:rsidRPr="00B3206B">
        <w:rPr>
          <w:rFonts w:cs="Arial"/>
          <w:color w:val="000000"/>
          <w:sz w:val="24"/>
          <w:szCs w:val="24"/>
        </w:rPr>
        <w:t xml:space="preserve"> more miles per week </w:t>
      </w:r>
      <w:r>
        <w:rPr>
          <w:rFonts w:cs="Arial"/>
          <w:color w:val="000000"/>
          <w:sz w:val="24"/>
          <w:szCs w:val="24"/>
        </w:rPr>
        <w:t>than female participants</w:t>
      </w:r>
      <w:r w:rsidRPr="00B3206B">
        <w:rPr>
          <w:rFonts w:cs="Arial"/>
          <w:color w:val="000000"/>
          <w:sz w:val="24"/>
          <w:szCs w:val="24"/>
        </w:rPr>
        <w:t>.</w:t>
      </w:r>
    </w:p>
    <w:p w:rsidR="00953E5C" w:rsidRPr="00F14854" w:rsidRDefault="00953E5C" w:rsidP="00953E5C">
      <w:pPr>
        <w:pStyle w:val="NoSpacing"/>
        <w:spacing w:line="360" w:lineRule="auto"/>
        <w:rPr>
          <w:rFonts w:cs="Arial"/>
          <w:color w:val="000000"/>
          <w:sz w:val="24"/>
          <w:szCs w:val="24"/>
        </w:rPr>
      </w:pPr>
      <w:r>
        <w:rPr>
          <w:sz w:val="24"/>
          <w:szCs w:val="24"/>
        </w:rPr>
        <w:br/>
      </w:r>
      <w:r w:rsidRPr="00B3206B">
        <w:rPr>
          <w:sz w:val="24"/>
          <w:szCs w:val="24"/>
        </w:rPr>
        <w:t>It also seems that as FPI increases</w:t>
      </w:r>
      <w:r>
        <w:rPr>
          <w:sz w:val="24"/>
          <w:szCs w:val="24"/>
        </w:rPr>
        <w:t>,</w:t>
      </w:r>
      <w:r w:rsidRPr="00B3206B">
        <w:rPr>
          <w:sz w:val="24"/>
          <w:szCs w:val="24"/>
        </w:rPr>
        <w:t xml:space="preserve"> the overall number of </w:t>
      </w:r>
      <w:r>
        <w:rPr>
          <w:sz w:val="24"/>
          <w:szCs w:val="24"/>
        </w:rPr>
        <w:t xml:space="preserve">overuse </w:t>
      </w:r>
      <w:r w:rsidRPr="00B3206B">
        <w:rPr>
          <w:sz w:val="24"/>
          <w:szCs w:val="24"/>
        </w:rPr>
        <w:t xml:space="preserve">injuries also </w:t>
      </w:r>
      <w:r>
        <w:rPr>
          <w:sz w:val="24"/>
          <w:szCs w:val="24"/>
        </w:rPr>
        <w:t>increases (see table 1)</w:t>
      </w:r>
      <w:r w:rsidRPr="00B3206B">
        <w:rPr>
          <w:sz w:val="24"/>
          <w:szCs w:val="24"/>
        </w:rPr>
        <w:t xml:space="preserve">. Likewise </w:t>
      </w:r>
      <w:r>
        <w:rPr>
          <w:sz w:val="24"/>
          <w:szCs w:val="24"/>
        </w:rPr>
        <w:t>as FPI decreases past zero, the number of overuse injuries also increases</w:t>
      </w:r>
      <w:r w:rsidRPr="00B3206B">
        <w:rPr>
          <w:sz w:val="24"/>
          <w:szCs w:val="24"/>
        </w:rPr>
        <w:t>.</w:t>
      </w:r>
    </w:p>
    <w:p w:rsidR="00953E5C" w:rsidRDefault="00953E5C" w:rsidP="00953E5C">
      <w:pPr>
        <w:pStyle w:val="NoSpacing"/>
        <w:spacing w:line="360" w:lineRule="auto"/>
        <w:rPr>
          <w:rFonts w:cs="Arial"/>
          <w:color w:val="000000"/>
          <w:sz w:val="24"/>
          <w:szCs w:val="24"/>
        </w:rPr>
      </w:pPr>
    </w:p>
    <w:p w:rsidR="00953E5C" w:rsidRDefault="00953E5C" w:rsidP="00953E5C">
      <w:pPr>
        <w:rPr>
          <w:rFonts w:cs="Arial"/>
          <w:color w:val="000000"/>
          <w:sz w:val="24"/>
          <w:szCs w:val="24"/>
        </w:rPr>
      </w:pPr>
      <w:r>
        <w:rPr>
          <w:rFonts w:cs="Arial"/>
          <w:color w:val="000000"/>
          <w:sz w:val="24"/>
          <w:szCs w:val="24"/>
        </w:rPr>
        <w:br w:type="page"/>
      </w:r>
    </w:p>
    <w:p w:rsidR="00953E5C" w:rsidRDefault="00953E5C" w:rsidP="00953E5C">
      <w:pPr>
        <w:pStyle w:val="Heading1"/>
        <w:spacing w:line="360" w:lineRule="auto"/>
      </w:pPr>
      <w:bookmarkStart w:id="35" w:name="_Toc216677194"/>
      <w:r>
        <w:lastRenderedPageBreak/>
        <w:t>Discussion</w:t>
      </w:r>
      <w:bookmarkEnd w:id="35"/>
    </w:p>
    <w:p w:rsidR="00953E5C" w:rsidRDefault="00953E5C" w:rsidP="00953E5C">
      <w:pPr>
        <w:pStyle w:val="Heading3"/>
        <w:spacing w:line="360" w:lineRule="auto"/>
      </w:pPr>
      <w:bookmarkStart w:id="36" w:name="_Toc216677195"/>
      <w:r>
        <w:t>Original aims and objectives</w:t>
      </w:r>
      <w:bookmarkEnd w:id="36"/>
    </w:p>
    <w:p w:rsidR="00953E5C" w:rsidRPr="00EB71A8" w:rsidRDefault="00953E5C" w:rsidP="00953E5C">
      <w:pPr>
        <w:spacing w:line="360" w:lineRule="auto"/>
        <w:rPr>
          <w:sz w:val="24"/>
          <w:szCs w:val="24"/>
        </w:rPr>
      </w:pPr>
      <w:r>
        <w:rPr>
          <w:sz w:val="24"/>
          <w:szCs w:val="24"/>
        </w:rPr>
        <w:t>The original aim</w:t>
      </w:r>
      <w:r w:rsidRPr="00B3206B">
        <w:rPr>
          <w:sz w:val="24"/>
          <w:szCs w:val="24"/>
        </w:rPr>
        <w:t xml:space="preserve"> </w:t>
      </w:r>
      <w:r>
        <w:rPr>
          <w:sz w:val="24"/>
          <w:szCs w:val="24"/>
        </w:rPr>
        <w:t>of this</w:t>
      </w:r>
      <w:r w:rsidRPr="00EB71A8">
        <w:rPr>
          <w:sz w:val="24"/>
          <w:szCs w:val="24"/>
        </w:rPr>
        <w:t xml:space="preserve"> </w:t>
      </w:r>
      <w:r>
        <w:rPr>
          <w:sz w:val="24"/>
          <w:szCs w:val="24"/>
        </w:rPr>
        <w:t>paper was to seek to determine whether there was a relationship between F</w:t>
      </w:r>
      <w:r w:rsidRPr="00EB71A8">
        <w:rPr>
          <w:sz w:val="24"/>
          <w:szCs w:val="24"/>
        </w:rPr>
        <w:t xml:space="preserve">PI </w:t>
      </w:r>
      <w:r>
        <w:rPr>
          <w:sz w:val="24"/>
          <w:szCs w:val="24"/>
        </w:rPr>
        <w:t xml:space="preserve">score, </w:t>
      </w:r>
      <w:r w:rsidRPr="00EB71A8">
        <w:rPr>
          <w:sz w:val="24"/>
          <w:szCs w:val="24"/>
        </w:rPr>
        <w:t>injury incidence</w:t>
      </w:r>
      <w:r>
        <w:rPr>
          <w:sz w:val="24"/>
          <w:szCs w:val="24"/>
        </w:rPr>
        <w:t xml:space="preserve"> rate and </w:t>
      </w:r>
      <w:r w:rsidRPr="00EB71A8">
        <w:rPr>
          <w:sz w:val="24"/>
          <w:szCs w:val="24"/>
        </w:rPr>
        <w:t>severity</w:t>
      </w:r>
      <w:r>
        <w:rPr>
          <w:sz w:val="24"/>
          <w:szCs w:val="24"/>
        </w:rPr>
        <w:t xml:space="preserve"> in a population of recreational runners</w:t>
      </w:r>
      <w:r w:rsidRPr="00EB71A8">
        <w:rPr>
          <w:sz w:val="24"/>
          <w:szCs w:val="24"/>
        </w:rPr>
        <w:t>.</w:t>
      </w:r>
    </w:p>
    <w:p w:rsidR="00953E5C" w:rsidRPr="00B3206B" w:rsidRDefault="00953E5C" w:rsidP="00953E5C">
      <w:pPr>
        <w:spacing w:line="360" w:lineRule="auto"/>
        <w:rPr>
          <w:sz w:val="24"/>
          <w:szCs w:val="24"/>
        </w:rPr>
      </w:pPr>
      <w:r w:rsidRPr="00B3206B">
        <w:rPr>
          <w:sz w:val="24"/>
          <w:szCs w:val="24"/>
        </w:rPr>
        <w:t>In some ways this project has taken the first step towards establishing a statistically valid relationship</w:t>
      </w:r>
      <w:r>
        <w:rPr>
          <w:sz w:val="24"/>
          <w:szCs w:val="24"/>
        </w:rPr>
        <w:t xml:space="preserve"> between FPI score, </w:t>
      </w:r>
      <w:r w:rsidRPr="00EB71A8">
        <w:rPr>
          <w:sz w:val="24"/>
          <w:szCs w:val="24"/>
        </w:rPr>
        <w:t>injury incidence</w:t>
      </w:r>
      <w:r>
        <w:rPr>
          <w:sz w:val="24"/>
          <w:szCs w:val="24"/>
        </w:rPr>
        <w:t xml:space="preserve"> rate and </w:t>
      </w:r>
      <w:r w:rsidRPr="00EB71A8">
        <w:rPr>
          <w:sz w:val="24"/>
          <w:szCs w:val="24"/>
        </w:rPr>
        <w:t>severity</w:t>
      </w:r>
      <w:r>
        <w:rPr>
          <w:sz w:val="24"/>
          <w:szCs w:val="24"/>
        </w:rPr>
        <w:t xml:space="preserve"> in a population of recreational runners</w:t>
      </w:r>
      <w:r w:rsidRPr="00EB71A8">
        <w:rPr>
          <w:sz w:val="24"/>
          <w:szCs w:val="24"/>
        </w:rPr>
        <w:t>.</w:t>
      </w:r>
      <w:r w:rsidRPr="00B3206B">
        <w:rPr>
          <w:sz w:val="24"/>
          <w:szCs w:val="24"/>
        </w:rPr>
        <w:t xml:space="preserve"> </w:t>
      </w:r>
      <w:r>
        <w:rPr>
          <w:sz w:val="24"/>
          <w:szCs w:val="24"/>
        </w:rPr>
        <w:t xml:space="preserve"> </w:t>
      </w:r>
      <w:r w:rsidRPr="00B3206B">
        <w:rPr>
          <w:sz w:val="24"/>
          <w:szCs w:val="24"/>
        </w:rPr>
        <w:t xml:space="preserve">However these findings are at odds with other studies that show no correlation between static measurements of foot biomechanics and </w:t>
      </w:r>
      <w:r>
        <w:rPr>
          <w:sz w:val="24"/>
          <w:szCs w:val="24"/>
        </w:rPr>
        <w:t>injury incidence rate</w:t>
      </w:r>
      <w:r w:rsidRPr="00B3206B">
        <w:rPr>
          <w:sz w:val="24"/>
          <w:szCs w:val="24"/>
        </w:rPr>
        <w:t xml:space="preserve"> and severity </w:t>
      </w:r>
      <w:sdt>
        <w:sdtPr>
          <w:rPr>
            <w:sz w:val="24"/>
            <w:szCs w:val="24"/>
          </w:rPr>
          <w:id w:val="2428657"/>
          <w:citation/>
        </w:sdtPr>
        <w:sdtContent>
          <w:r w:rsidR="007A16A5" w:rsidRPr="00B3206B">
            <w:rPr>
              <w:sz w:val="24"/>
              <w:szCs w:val="24"/>
            </w:rPr>
            <w:fldChar w:fldCharType="begin"/>
          </w:r>
          <w:r w:rsidRPr="00B3206B">
            <w:rPr>
              <w:sz w:val="24"/>
              <w:szCs w:val="24"/>
            </w:rPr>
            <w:instrText xml:space="preserve"> CITATION Lun04 \l 2057 </w:instrText>
          </w:r>
          <w:r w:rsidR="007A16A5" w:rsidRPr="00B3206B">
            <w:rPr>
              <w:sz w:val="24"/>
              <w:szCs w:val="24"/>
            </w:rPr>
            <w:fldChar w:fldCharType="separate"/>
          </w:r>
          <w:r w:rsidRPr="003348AF">
            <w:rPr>
              <w:noProof/>
              <w:sz w:val="24"/>
              <w:szCs w:val="24"/>
            </w:rPr>
            <w:t>(Lun, et al., 2004)</w:t>
          </w:r>
          <w:r w:rsidR="007A16A5" w:rsidRPr="00B3206B">
            <w:rPr>
              <w:sz w:val="24"/>
              <w:szCs w:val="24"/>
            </w:rPr>
            <w:fldChar w:fldCharType="end"/>
          </w:r>
        </w:sdtContent>
      </w:sdt>
      <w:r w:rsidRPr="00B3206B">
        <w:rPr>
          <w:sz w:val="24"/>
          <w:szCs w:val="24"/>
        </w:rPr>
        <w:t>.</w:t>
      </w:r>
      <w:r>
        <w:rPr>
          <w:sz w:val="24"/>
          <w:szCs w:val="24"/>
        </w:rPr>
        <w:t xml:space="preserve">  This is discussed below. </w:t>
      </w:r>
    </w:p>
    <w:p w:rsidR="00953E5C" w:rsidRDefault="00953E5C" w:rsidP="00953E5C">
      <w:pPr>
        <w:pStyle w:val="Heading3"/>
        <w:spacing w:line="360" w:lineRule="auto"/>
      </w:pPr>
      <w:bookmarkStart w:id="37" w:name="_Toc216677196"/>
      <w:r>
        <w:t>Existing knowledge base</w:t>
      </w:r>
      <w:bookmarkEnd w:id="37"/>
    </w:p>
    <w:p w:rsidR="00953E5C" w:rsidRPr="00B3206B" w:rsidRDefault="00953E5C" w:rsidP="00953E5C">
      <w:pPr>
        <w:spacing w:line="360" w:lineRule="auto"/>
        <w:rPr>
          <w:sz w:val="24"/>
          <w:szCs w:val="24"/>
        </w:rPr>
      </w:pPr>
      <w:r w:rsidRPr="00B3206B">
        <w:rPr>
          <w:sz w:val="24"/>
          <w:szCs w:val="24"/>
        </w:rPr>
        <w:t xml:space="preserve">The main difference between this study and </w:t>
      </w:r>
      <w:proofErr w:type="spellStart"/>
      <w:r w:rsidRPr="00B3206B">
        <w:rPr>
          <w:sz w:val="24"/>
          <w:szCs w:val="24"/>
        </w:rPr>
        <w:t>Lun</w:t>
      </w:r>
      <w:proofErr w:type="spellEnd"/>
      <w:r w:rsidRPr="00B3206B">
        <w:rPr>
          <w:sz w:val="24"/>
          <w:szCs w:val="24"/>
        </w:rPr>
        <w:t xml:space="preserve"> et al </w:t>
      </w:r>
      <w:sdt>
        <w:sdtPr>
          <w:rPr>
            <w:sz w:val="24"/>
            <w:szCs w:val="24"/>
          </w:rPr>
          <w:id w:val="2428658"/>
          <w:citation/>
        </w:sdtPr>
        <w:sdtContent>
          <w:r w:rsidR="007A16A5" w:rsidRPr="00B3206B">
            <w:rPr>
              <w:sz w:val="24"/>
              <w:szCs w:val="24"/>
            </w:rPr>
            <w:fldChar w:fldCharType="begin"/>
          </w:r>
          <w:r w:rsidRPr="00B3206B">
            <w:rPr>
              <w:sz w:val="24"/>
              <w:szCs w:val="24"/>
            </w:rPr>
            <w:instrText xml:space="preserve"> CITATION Lun04 \n  \l 2057  </w:instrText>
          </w:r>
          <w:r w:rsidR="007A16A5" w:rsidRPr="00B3206B">
            <w:rPr>
              <w:sz w:val="24"/>
              <w:szCs w:val="24"/>
            </w:rPr>
            <w:fldChar w:fldCharType="separate"/>
          </w:r>
          <w:r w:rsidRPr="003348AF">
            <w:rPr>
              <w:noProof/>
              <w:sz w:val="24"/>
              <w:szCs w:val="24"/>
            </w:rPr>
            <w:t>(2004)</w:t>
          </w:r>
          <w:r w:rsidR="007A16A5" w:rsidRPr="00B3206B">
            <w:rPr>
              <w:sz w:val="24"/>
              <w:szCs w:val="24"/>
            </w:rPr>
            <w:fldChar w:fldCharType="end"/>
          </w:r>
        </w:sdtContent>
      </w:sdt>
      <w:r w:rsidRPr="00B3206B">
        <w:rPr>
          <w:sz w:val="24"/>
          <w:szCs w:val="24"/>
        </w:rPr>
        <w:t xml:space="preserve"> is that individual injuries were plotted against different static measurements. The static measurement used </w:t>
      </w:r>
      <w:r>
        <w:rPr>
          <w:sz w:val="24"/>
          <w:szCs w:val="24"/>
        </w:rPr>
        <w:t xml:space="preserve">by </w:t>
      </w:r>
      <w:proofErr w:type="spellStart"/>
      <w:r>
        <w:rPr>
          <w:sz w:val="24"/>
          <w:szCs w:val="24"/>
        </w:rPr>
        <w:t>Lun</w:t>
      </w:r>
      <w:proofErr w:type="spellEnd"/>
      <w:r>
        <w:rPr>
          <w:sz w:val="24"/>
          <w:szCs w:val="24"/>
        </w:rPr>
        <w:t xml:space="preserve"> et al </w:t>
      </w:r>
      <w:r w:rsidRPr="00B3206B">
        <w:rPr>
          <w:sz w:val="24"/>
          <w:szCs w:val="24"/>
        </w:rPr>
        <w:t xml:space="preserve">for foot biomechanics </w:t>
      </w:r>
      <w:r>
        <w:rPr>
          <w:sz w:val="24"/>
          <w:szCs w:val="24"/>
        </w:rPr>
        <w:t>was a</w:t>
      </w:r>
      <w:r w:rsidRPr="00B3206B">
        <w:rPr>
          <w:sz w:val="24"/>
          <w:szCs w:val="24"/>
        </w:rPr>
        <w:t xml:space="preserve"> subjective</w:t>
      </w:r>
      <w:r>
        <w:rPr>
          <w:sz w:val="24"/>
          <w:szCs w:val="24"/>
        </w:rPr>
        <w:t>,</w:t>
      </w:r>
      <w:r w:rsidRPr="00B3206B">
        <w:rPr>
          <w:sz w:val="24"/>
          <w:szCs w:val="24"/>
        </w:rPr>
        <w:t xml:space="preserve"> non-validated methodology</w:t>
      </w:r>
      <w:r>
        <w:rPr>
          <w:sz w:val="24"/>
          <w:szCs w:val="24"/>
        </w:rPr>
        <w:t>.  It</w:t>
      </w:r>
      <w:r w:rsidRPr="00B3206B">
        <w:rPr>
          <w:sz w:val="24"/>
          <w:szCs w:val="24"/>
        </w:rPr>
        <w:t xml:space="preserve"> us</w:t>
      </w:r>
      <w:r>
        <w:rPr>
          <w:sz w:val="24"/>
          <w:szCs w:val="24"/>
        </w:rPr>
        <w:t>ed</w:t>
      </w:r>
      <w:r w:rsidRPr="00B3206B">
        <w:rPr>
          <w:sz w:val="24"/>
          <w:szCs w:val="24"/>
        </w:rPr>
        <w:t xml:space="preserve"> visual assessment of the foot to categorise it into </w:t>
      </w:r>
      <w:proofErr w:type="spellStart"/>
      <w:r w:rsidRPr="00B3206B">
        <w:rPr>
          <w:sz w:val="24"/>
          <w:szCs w:val="24"/>
        </w:rPr>
        <w:t>supinated</w:t>
      </w:r>
      <w:proofErr w:type="spellEnd"/>
      <w:r w:rsidRPr="00B3206B">
        <w:rPr>
          <w:sz w:val="24"/>
          <w:szCs w:val="24"/>
        </w:rPr>
        <w:t xml:space="preserve">, neutral or </w:t>
      </w:r>
      <w:proofErr w:type="spellStart"/>
      <w:r w:rsidRPr="00B3206B">
        <w:rPr>
          <w:sz w:val="24"/>
          <w:szCs w:val="24"/>
        </w:rPr>
        <w:t>pronated</w:t>
      </w:r>
      <w:proofErr w:type="spellEnd"/>
      <w:r w:rsidRPr="00B3206B">
        <w:rPr>
          <w:sz w:val="24"/>
          <w:szCs w:val="24"/>
        </w:rPr>
        <w:t>. The initial literature search highlighted this method as hav</w:t>
      </w:r>
      <w:r>
        <w:rPr>
          <w:sz w:val="24"/>
          <w:szCs w:val="24"/>
        </w:rPr>
        <w:t>ing a very poor intra and inter-</w:t>
      </w:r>
      <w:proofErr w:type="spellStart"/>
      <w:r w:rsidRPr="00B3206B">
        <w:rPr>
          <w:sz w:val="24"/>
          <w:szCs w:val="24"/>
        </w:rPr>
        <w:t>rater</w:t>
      </w:r>
      <w:proofErr w:type="spellEnd"/>
      <w:r w:rsidRPr="00B3206B">
        <w:rPr>
          <w:sz w:val="24"/>
          <w:szCs w:val="24"/>
        </w:rPr>
        <w:t xml:space="preserve"> reliability </w:t>
      </w:r>
      <w:sdt>
        <w:sdtPr>
          <w:rPr>
            <w:sz w:val="24"/>
            <w:szCs w:val="24"/>
          </w:rPr>
          <w:id w:val="2428659"/>
          <w:citation/>
        </w:sdtPr>
        <w:sdtContent>
          <w:r w:rsidR="007A16A5" w:rsidRPr="00B3206B">
            <w:rPr>
              <w:sz w:val="24"/>
              <w:szCs w:val="24"/>
            </w:rPr>
            <w:fldChar w:fldCharType="begin"/>
          </w:r>
          <w:r w:rsidRPr="00B3206B">
            <w:rPr>
              <w:sz w:val="24"/>
              <w:szCs w:val="24"/>
            </w:rPr>
            <w:instrText xml:space="preserve"> CITATION Raz02 \l 2057 </w:instrText>
          </w:r>
          <w:r w:rsidR="007A16A5" w:rsidRPr="00B3206B">
            <w:rPr>
              <w:sz w:val="24"/>
              <w:szCs w:val="24"/>
            </w:rPr>
            <w:fldChar w:fldCharType="separate"/>
          </w:r>
          <w:r w:rsidRPr="003348AF">
            <w:rPr>
              <w:noProof/>
              <w:sz w:val="24"/>
              <w:szCs w:val="24"/>
            </w:rPr>
            <w:t>(Razeghi, et al., 2002)</w:t>
          </w:r>
          <w:r w:rsidR="007A16A5" w:rsidRPr="00B3206B">
            <w:rPr>
              <w:sz w:val="24"/>
              <w:szCs w:val="24"/>
            </w:rPr>
            <w:fldChar w:fldCharType="end"/>
          </w:r>
        </w:sdtContent>
      </w:sdt>
      <w:r>
        <w:rPr>
          <w:sz w:val="24"/>
          <w:szCs w:val="24"/>
        </w:rPr>
        <w:t xml:space="preserve">. It would appear that </w:t>
      </w:r>
      <w:r w:rsidRPr="00B3206B">
        <w:rPr>
          <w:sz w:val="24"/>
          <w:szCs w:val="24"/>
        </w:rPr>
        <w:t>FPI</w:t>
      </w:r>
      <w:r>
        <w:rPr>
          <w:sz w:val="24"/>
          <w:szCs w:val="24"/>
        </w:rPr>
        <w:t>,</w:t>
      </w:r>
      <w:r w:rsidRPr="00B3206B">
        <w:rPr>
          <w:sz w:val="24"/>
          <w:szCs w:val="24"/>
        </w:rPr>
        <w:t xml:space="preserve"> with its multi-planar approach to assessing the foot, yields a greater spread of data that allows more subtle variation between foot types. </w:t>
      </w:r>
    </w:p>
    <w:p w:rsidR="00953E5C" w:rsidRDefault="00953E5C" w:rsidP="00953E5C">
      <w:pPr>
        <w:pStyle w:val="Heading3"/>
      </w:pPr>
      <w:bookmarkStart w:id="38" w:name="_Toc216677197"/>
      <w:r>
        <w:t>Validity</w:t>
      </w:r>
      <w:bookmarkEnd w:id="38"/>
    </w:p>
    <w:p w:rsidR="00953E5C" w:rsidRDefault="00953E5C" w:rsidP="00953E5C">
      <w:pPr>
        <w:spacing w:line="360" w:lineRule="auto"/>
        <w:rPr>
          <w:sz w:val="24"/>
          <w:szCs w:val="24"/>
        </w:rPr>
      </w:pPr>
      <w:r>
        <w:rPr>
          <w:sz w:val="24"/>
          <w:szCs w:val="24"/>
        </w:rPr>
        <w:t>A number of weaknesses can be identified with this study:</w:t>
      </w:r>
    </w:p>
    <w:p w:rsidR="00953E5C" w:rsidRPr="00556E43" w:rsidRDefault="00953E5C" w:rsidP="00953E5C">
      <w:pPr>
        <w:pStyle w:val="ListParagraph"/>
        <w:numPr>
          <w:ilvl w:val="0"/>
          <w:numId w:val="2"/>
        </w:numPr>
        <w:spacing w:line="360" w:lineRule="auto"/>
        <w:rPr>
          <w:rFonts w:asciiTheme="minorHAnsi" w:hAnsiTheme="minorHAnsi"/>
        </w:rPr>
      </w:pPr>
      <w:r w:rsidRPr="00556E43">
        <w:rPr>
          <w:rFonts w:asciiTheme="minorHAnsi" w:hAnsiTheme="minorHAnsi"/>
        </w:rPr>
        <w:t xml:space="preserve">All of the injuries were pooled together when performing correlation analysis. </w:t>
      </w:r>
      <w:proofErr w:type="spellStart"/>
      <w:r w:rsidRPr="00556E43">
        <w:rPr>
          <w:rFonts w:asciiTheme="minorHAnsi" w:hAnsiTheme="minorHAnsi"/>
        </w:rPr>
        <w:t>Lun</w:t>
      </w:r>
      <w:proofErr w:type="spellEnd"/>
      <w:r w:rsidRPr="00556E43">
        <w:rPr>
          <w:rFonts w:asciiTheme="minorHAnsi" w:hAnsiTheme="minorHAnsi"/>
        </w:rPr>
        <w:t xml:space="preserve"> et al </w:t>
      </w:r>
      <w:sdt>
        <w:sdtPr>
          <w:rPr>
            <w:rFonts w:asciiTheme="minorHAnsi" w:hAnsiTheme="minorHAnsi"/>
          </w:rPr>
          <w:id w:val="2428661"/>
          <w:citation/>
        </w:sdtPr>
        <w:sdtContent>
          <w:r w:rsidR="007A16A5" w:rsidRPr="00556E43">
            <w:rPr>
              <w:rFonts w:asciiTheme="minorHAnsi" w:hAnsiTheme="minorHAnsi"/>
            </w:rPr>
            <w:fldChar w:fldCharType="begin"/>
          </w:r>
          <w:r w:rsidRPr="00556E43">
            <w:rPr>
              <w:rFonts w:asciiTheme="minorHAnsi" w:hAnsiTheme="minorHAnsi"/>
            </w:rPr>
            <w:instrText xml:space="preserve"> CITATION Lun04 \n  \l 2057  </w:instrText>
          </w:r>
          <w:r w:rsidR="007A16A5" w:rsidRPr="00556E43">
            <w:rPr>
              <w:rFonts w:asciiTheme="minorHAnsi" w:hAnsiTheme="minorHAnsi"/>
            </w:rPr>
            <w:fldChar w:fldCharType="separate"/>
          </w:r>
          <w:r w:rsidRPr="00556E43">
            <w:rPr>
              <w:rFonts w:asciiTheme="minorHAnsi" w:hAnsiTheme="minorHAnsi"/>
              <w:noProof/>
            </w:rPr>
            <w:t>(2004)</w:t>
          </w:r>
          <w:r w:rsidR="007A16A5" w:rsidRPr="00556E43">
            <w:rPr>
              <w:rFonts w:asciiTheme="minorHAnsi" w:hAnsiTheme="minorHAnsi"/>
            </w:rPr>
            <w:fldChar w:fldCharType="end"/>
          </w:r>
        </w:sdtContent>
      </w:sdt>
      <w:r w:rsidRPr="00556E43">
        <w:rPr>
          <w:rFonts w:asciiTheme="minorHAnsi" w:hAnsiTheme="minorHAnsi"/>
        </w:rPr>
        <w:t xml:space="preserve"> plotted each injury type against the different static biomechanical data sets and found little difference between the injured and non injured groups. </w:t>
      </w:r>
    </w:p>
    <w:p w:rsidR="00953E5C" w:rsidRPr="00556E43" w:rsidRDefault="00953E5C" w:rsidP="00953E5C">
      <w:pPr>
        <w:pStyle w:val="ListParagraph"/>
        <w:numPr>
          <w:ilvl w:val="0"/>
          <w:numId w:val="2"/>
        </w:numPr>
        <w:spacing w:line="360" w:lineRule="auto"/>
        <w:rPr>
          <w:rFonts w:asciiTheme="minorHAnsi" w:hAnsiTheme="minorHAnsi"/>
        </w:rPr>
      </w:pPr>
      <w:r w:rsidRPr="00556E43">
        <w:rPr>
          <w:rFonts w:asciiTheme="minorHAnsi" w:hAnsiTheme="minorHAnsi"/>
        </w:rPr>
        <w:t xml:space="preserve">The rather broad-brush approach that this study takes does not allow other biomechanical measurements, such as leg length or q-angle, to be taken into account as confounding factors. </w:t>
      </w:r>
    </w:p>
    <w:p w:rsidR="00953E5C" w:rsidRPr="00556E43" w:rsidRDefault="00953E5C" w:rsidP="00953E5C">
      <w:pPr>
        <w:pStyle w:val="ListParagraph"/>
        <w:numPr>
          <w:ilvl w:val="0"/>
          <w:numId w:val="2"/>
        </w:numPr>
        <w:spacing w:line="360" w:lineRule="auto"/>
        <w:rPr>
          <w:rFonts w:asciiTheme="minorHAnsi" w:hAnsiTheme="minorHAnsi"/>
        </w:rPr>
      </w:pPr>
      <w:r w:rsidRPr="00556E43">
        <w:rPr>
          <w:rFonts w:asciiTheme="minorHAnsi" w:hAnsiTheme="minorHAnsi"/>
        </w:rPr>
        <w:t xml:space="preserve">As </w:t>
      </w:r>
      <w:proofErr w:type="spellStart"/>
      <w:r w:rsidRPr="00556E43">
        <w:rPr>
          <w:rFonts w:asciiTheme="minorHAnsi" w:hAnsiTheme="minorHAnsi"/>
        </w:rPr>
        <w:t>Lun</w:t>
      </w:r>
      <w:proofErr w:type="spellEnd"/>
      <w:r w:rsidRPr="00556E43">
        <w:rPr>
          <w:rFonts w:asciiTheme="minorHAnsi" w:hAnsiTheme="minorHAnsi"/>
        </w:rPr>
        <w:t xml:space="preserve"> et </w:t>
      </w:r>
      <w:proofErr w:type="spellStart"/>
      <w:r w:rsidRPr="00556E43">
        <w:rPr>
          <w:rFonts w:asciiTheme="minorHAnsi" w:hAnsiTheme="minorHAnsi"/>
        </w:rPr>
        <w:t>al’s</w:t>
      </w:r>
      <w:proofErr w:type="spellEnd"/>
      <w:r w:rsidRPr="00556E43">
        <w:rPr>
          <w:rFonts w:asciiTheme="minorHAnsi" w:hAnsiTheme="minorHAnsi"/>
        </w:rPr>
        <w:t xml:space="preserve"> (2004) study was prospective,</w:t>
      </w:r>
      <w:r>
        <w:rPr>
          <w:rFonts w:asciiTheme="minorHAnsi" w:hAnsiTheme="minorHAnsi"/>
        </w:rPr>
        <w:t xml:space="preserve"> </w:t>
      </w:r>
      <w:r w:rsidRPr="00556E43">
        <w:rPr>
          <w:rFonts w:asciiTheme="minorHAnsi" w:hAnsiTheme="minorHAnsi"/>
        </w:rPr>
        <w:t xml:space="preserve">careful monitoring of exact symptom duration and symptom type was possible. This was not possible for this study </w:t>
      </w:r>
      <w:r>
        <w:rPr>
          <w:rFonts w:asciiTheme="minorHAnsi" w:hAnsiTheme="minorHAnsi"/>
        </w:rPr>
        <w:t>due to its</w:t>
      </w:r>
      <w:r w:rsidRPr="00556E43">
        <w:rPr>
          <w:rFonts w:asciiTheme="minorHAnsi" w:hAnsiTheme="minorHAnsi"/>
        </w:rPr>
        <w:t xml:space="preserve"> retrospective nature</w:t>
      </w:r>
      <w:r>
        <w:rPr>
          <w:rFonts w:asciiTheme="minorHAnsi" w:hAnsiTheme="minorHAnsi"/>
        </w:rPr>
        <w:t xml:space="preserve">, which </w:t>
      </w:r>
      <w:r w:rsidRPr="00556E43">
        <w:rPr>
          <w:rFonts w:asciiTheme="minorHAnsi" w:hAnsiTheme="minorHAnsi"/>
        </w:rPr>
        <w:t xml:space="preserve">meant </w:t>
      </w:r>
      <w:r>
        <w:rPr>
          <w:rFonts w:asciiTheme="minorHAnsi" w:hAnsiTheme="minorHAnsi"/>
        </w:rPr>
        <w:t xml:space="preserve">that </w:t>
      </w:r>
      <w:r w:rsidRPr="00556E43">
        <w:rPr>
          <w:rFonts w:asciiTheme="minorHAnsi" w:hAnsiTheme="minorHAnsi"/>
        </w:rPr>
        <w:t xml:space="preserve">subjects </w:t>
      </w:r>
      <w:r>
        <w:rPr>
          <w:rFonts w:asciiTheme="minorHAnsi" w:hAnsiTheme="minorHAnsi"/>
        </w:rPr>
        <w:t>may</w:t>
      </w:r>
      <w:r w:rsidRPr="00556E43">
        <w:rPr>
          <w:rFonts w:asciiTheme="minorHAnsi" w:hAnsiTheme="minorHAnsi"/>
        </w:rPr>
        <w:t xml:space="preserve"> not </w:t>
      </w:r>
      <w:r>
        <w:rPr>
          <w:rFonts w:asciiTheme="minorHAnsi" w:hAnsiTheme="minorHAnsi"/>
        </w:rPr>
        <w:t xml:space="preserve">have been </w:t>
      </w:r>
      <w:r w:rsidRPr="00556E43">
        <w:rPr>
          <w:rFonts w:asciiTheme="minorHAnsi" w:hAnsiTheme="minorHAnsi"/>
        </w:rPr>
        <w:t>accurate about the</w:t>
      </w:r>
      <w:r>
        <w:rPr>
          <w:rFonts w:asciiTheme="minorHAnsi" w:hAnsiTheme="minorHAnsi"/>
        </w:rPr>
        <w:t>ir</w:t>
      </w:r>
      <w:r w:rsidRPr="00556E43">
        <w:rPr>
          <w:rFonts w:asciiTheme="minorHAnsi" w:hAnsiTheme="minorHAnsi"/>
        </w:rPr>
        <w:t xml:space="preserve"> exact condition </w:t>
      </w:r>
      <w:r>
        <w:rPr>
          <w:rFonts w:asciiTheme="minorHAnsi" w:hAnsiTheme="minorHAnsi"/>
        </w:rPr>
        <w:t>or</w:t>
      </w:r>
      <w:r w:rsidRPr="00556E43">
        <w:rPr>
          <w:rFonts w:asciiTheme="minorHAnsi" w:hAnsiTheme="minorHAnsi"/>
        </w:rPr>
        <w:t xml:space="preserve"> about time lost from training.</w:t>
      </w:r>
    </w:p>
    <w:p w:rsidR="00953E5C" w:rsidRDefault="00953E5C" w:rsidP="00953E5C">
      <w:pPr>
        <w:pStyle w:val="Heading3"/>
        <w:spacing w:line="360" w:lineRule="auto"/>
      </w:pPr>
      <w:bookmarkStart w:id="39" w:name="_Toc216677198"/>
      <w:r>
        <w:lastRenderedPageBreak/>
        <w:t>Reliability</w:t>
      </w:r>
      <w:bookmarkEnd w:id="39"/>
    </w:p>
    <w:p w:rsidR="00953E5C" w:rsidRPr="00B3206B" w:rsidRDefault="00953E5C" w:rsidP="00953E5C">
      <w:pPr>
        <w:spacing w:line="360" w:lineRule="auto"/>
        <w:rPr>
          <w:sz w:val="24"/>
          <w:szCs w:val="24"/>
        </w:rPr>
      </w:pPr>
      <w:r w:rsidRPr="00B3206B">
        <w:rPr>
          <w:sz w:val="24"/>
          <w:szCs w:val="24"/>
        </w:rPr>
        <w:t>One area of difficulty when collecting the data was the nature of the environment (</w:t>
      </w:r>
      <w:r>
        <w:rPr>
          <w:sz w:val="24"/>
          <w:szCs w:val="24"/>
        </w:rPr>
        <w:t>a London</w:t>
      </w:r>
      <w:r w:rsidRPr="00B3206B">
        <w:rPr>
          <w:sz w:val="24"/>
          <w:szCs w:val="24"/>
        </w:rPr>
        <w:t xml:space="preserve"> running shop). The assessor felt that cases were </w:t>
      </w:r>
      <w:r>
        <w:rPr>
          <w:sz w:val="24"/>
          <w:szCs w:val="24"/>
        </w:rPr>
        <w:t xml:space="preserve">often </w:t>
      </w:r>
      <w:r w:rsidRPr="00B3206B">
        <w:rPr>
          <w:sz w:val="24"/>
          <w:szCs w:val="24"/>
        </w:rPr>
        <w:t xml:space="preserve">self selecting </w:t>
      </w:r>
      <w:r>
        <w:rPr>
          <w:sz w:val="24"/>
          <w:szCs w:val="24"/>
        </w:rPr>
        <w:t xml:space="preserve">because people were frequently asked to </w:t>
      </w:r>
      <w:r w:rsidRPr="00B3206B">
        <w:rPr>
          <w:sz w:val="24"/>
          <w:szCs w:val="24"/>
        </w:rPr>
        <w:t xml:space="preserve">participate after performing the standard video gait analysis offered in store. This may have unconsciously led </w:t>
      </w:r>
      <w:r>
        <w:rPr>
          <w:sz w:val="24"/>
          <w:szCs w:val="24"/>
        </w:rPr>
        <w:t>the assessor</w:t>
      </w:r>
      <w:r w:rsidRPr="00B3206B">
        <w:rPr>
          <w:sz w:val="24"/>
          <w:szCs w:val="24"/>
        </w:rPr>
        <w:t xml:space="preserve"> to only ask prospective candidates that he fe</w:t>
      </w:r>
      <w:r>
        <w:rPr>
          <w:sz w:val="24"/>
          <w:szCs w:val="24"/>
        </w:rPr>
        <w:t xml:space="preserve">lt were suitable for inclusion, leading </w:t>
      </w:r>
      <w:r w:rsidRPr="00B3206B">
        <w:rPr>
          <w:sz w:val="24"/>
          <w:szCs w:val="24"/>
        </w:rPr>
        <w:t>to a rather too perfect set of results.</w:t>
      </w:r>
    </w:p>
    <w:p w:rsidR="00953E5C" w:rsidRDefault="00953E5C" w:rsidP="00953E5C">
      <w:pPr>
        <w:pStyle w:val="Heading3"/>
        <w:spacing w:line="360" w:lineRule="auto"/>
      </w:pPr>
      <w:bookmarkStart w:id="40" w:name="_Toc216677199"/>
      <w:r>
        <w:t>Further research</w:t>
      </w:r>
      <w:bookmarkEnd w:id="40"/>
    </w:p>
    <w:p w:rsidR="00953E5C" w:rsidRDefault="00953E5C" w:rsidP="00953E5C">
      <w:pPr>
        <w:spacing w:line="360" w:lineRule="auto"/>
        <w:rPr>
          <w:sz w:val="24"/>
          <w:szCs w:val="24"/>
        </w:rPr>
      </w:pPr>
      <w:r>
        <w:rPr>
          <w:sz w:val="24"/>
          <w:szCs w:val="24"/>
        </w:rPr>
        <w:t>A f</w:t>
      </w:r>
      <w:r w:rsidRPr="00B3206B">
        <w:rPr>
          <w:sz w:val="24"/>
          <w:szCs w:val="24"/>
        </w:rPr>
        <w:t>urther</w:t>
      </w:r>
      <w:r>
        <w:rPr>
          <w:sz w:val="24"/>
          <w:szCs w:val="24"/>
        </w:rPr>
        <w:t>,</w:t>
      </w:r>
      <w:r w:rsidRPr="00B3206B">
        <w:rPr>
          <w:sz w:val="24"/>
          <w:szCs w:val="24"/>
        </w:rPr>
        <w:t xml:space="preserve"> prospective study </w:t>
      </w:r>
      <w:r>
        <w:rPr>
          <w:sz w:val="24"/>
          <w:szCs w:val="24"/>
        </w:rPr>
        <w:t>c</w:t>
      </w:r>
      <w:r w:rsidRPr="00B3206B">
        <w:rPr>
          <w:sz w:val="24"/>
          <w:szCs w:val="24"/>
        </w:rPr>
        <w:t>ould be carried out over a discrete time-frame</w:t>
      </w:r>
      <w:r>
        <w:rPr>
          <w:sz w:val="24"/>
          <w:szCs w:val="24"/>
        </w:rPr>
        <w:t xml:space="preserve">, </w:t>
      </w:r>
      <w:r w:rsidRPr="00B3206B">
        <w:rPr>
          <w:sz w:val="24"/>
          <w:szCs w:val="24"/>
        </w:rPr>
        <w:t>allowing greater accuracy in data collection. Th</w:t>
      </w:r>
      <w:r>
        <w:rPr>
          <w:sz w:val="24"/>
          <w:szCs w:val="24"/>
        </w:rPr>
        <w:t>is study could consider including:</w:t>
      </w:r>
    </w:p>
    <w:p w:rsidR="00953E5C" w:rsidRPr="00556E43" w:rsidRDefault="00953E5C" w:rsidP="00953E5C">
      <w:pPr>
        <w:pStyle w:val="ListParagraph"/>
        <w:numPr>
          <w:ilvl w:val="0"/>
          <w:numId w:val="3"/>
        </w:numPr>
        <w:spacing w:line="360" w:lineRule="auto"/>
        <w:rPr>
          <w:rFonts w:asciiTheme="minorHAnsi" w:hAnsiTheme="minorHAnsi"/>
        </w:rPr>
      </w:pPr>
      <w:r w:rsidRPr="00556E43">
        <w:rPr>
          <w:rFonts w:asciiTheme="minorHAnsi" w:hAnsiTheme="minorHAnsi"/>
        </w:rPr>
        <w:t>increased specificity regarding the exact nature and severity of each injury</w:t>
      </w:r>
    </w:p>
    <w:p w:rsidR="00953E5C" w:rsidRPr="00556E43" w:rsidRDefault="00953E5C" w:rsidP="00953E5C">
      <w:pPr>
        <w:pStyle w:val="ListParagraph"/>
        <w:numPr>
          <w:ilvl w:val="0"/>
          <w:numId w:val="3"/>
        </w:numPr>
        <w:spacing w:line="360" w:lineRule="auto"/>
        <w:rPr>
          <w:rFonts w:asciiTheme="minorHAnsi" w:hAnsiTheme="minorHAnsi"/>
        </w:rPr>
      </w:pPr>
      <w:r w:rsidRPr="00556E43">
        <w:rPr>
          <w:rFonts w:asciiTheme="minorHAnsi" w:hAnsiTheme="minorHAnsi"/>
        </w:rPr>
        <w:t>t</w:t>
      </w:r>
      <w:r>
        <w:rPr>
          <w:rFonts w:asciiTheme="minorHAnsi" w:hAnsiTheme="minorHAnsi"/>
        </w:rPr>
        <w:t>ime-</w:t>
      </w:r>
      <w:r w:rsidRPr="00556E43">
        <w:rPr>
          <w:rFonts w:asciiTheme="minorHAnsi" w:hAnsiTheme="minorHAnsi"/>
        </w:rPr>
        <w:t>hazard studies could be performed on several different groups comprising a wide range of FPI scores</w:t>
      </w:r>
    </w:p>
    <w:p w:rsidR="00953E5C" w:rsidRPr="00556E43" w:rsidRDefault="00953E5C" w:rsidP="00953E5C">
      <w:pPr>
        <w:pStyle w:val="ListParagraph"/>
        <w:numPr>
          <w:ilvl w:val="0"/>
          <w:numId w:val="3"/>
        </w:numPr>
        <w:spacing w:line="360" w:lineRule="auto"/>
        <w:rPr>
          <w:rFonts w:asciiTheme="minorHAnsi" w:hAnsiTheme="minorHAnsi"/>
        </w:rPr>
      </w:pPr>
      <w:r w:rsidRPr="00556E43">
        <w:rPr>
          <w:rFonts w:asciiTheme="minorHAnsi" w:hAnsiTheme="minorHAnsi"/>
        </w:rPr>
        <w:t>a control group with neutral feet could be included</w:t>
      </w:r>
    </w:p>
    <w:p w:rsidR="00953E5C" w:rsidRPr="00556E43" w:rsidRDefault="00953E5C" w:rsidP="00953E5C">
      <w:pPr>
        <w:pStyle w:val="ListParagraph"/>
        <w:numPr>
          <w:ilvl w:val="0"/>
          <w:numId w:val="3"/>
        </w:numPr>
        <w:spacing w:line="360" w:lineRule="auto"/>
        <w:rPr>
          <w:rFonts w:asciiTheme="minorHAnsi" w:hAnsiTheme="minorHAnsi"/>
        </w:rPr>
      </w:pPr>
      <w:r w:rsidRPr="00556E43">
        <w:rPr>
          <w:rFonts w:asciiTheme="minorHAnsi" w:hAnsiTheme="minorHAnsi"/>
        </w:rPr>
        <w:t>a wider variety of runners from different backgrounds should be sought, such as running clubs</w:t>
      </w:r>
    </w:p>
    <w:p w:rsidR="00953E5C" w:rsidRPr="00556E43" w:rsidRDefault="00953E5C" w:rsidP="00953E5C">
      <w:pPr>
        <w:pStyle w:val="ListParagraph"/>
        <w:numPr>
          <w:ilvl w:val="0"/>
          <w:numId w:val="3"/>
        </w:numPr>
        <w:spacing w:line="360" w:lineRule="auto"/>
        <w:rPr>
          <w:rFonts w:asciiTheme="minorHAnsi" w:hAnsiTheme="minorHAnsi"/>
        </w:rPr>
      </w:pPr>
      <w:proofErr w:type="gramStart"/>
      <w:r w:rsidRPr="00556E43">
        <w:rPr>
          <w:rFonts w:asciiTheme="minorHAnsi" w:hAnsiTheme="minorHAnsi"/>
        </w:rPr>
        <w:t>higher</w:t>
      </w:r>
      <w:proofErr w:type="gramEnd"/>
      <w:r w:rsidRPr="00556E43">
        <w:rPr>
          <w:rFonts w:asciiTheme="minorHAnsi" w:hAnsiTheme="minorHAnsi"/>
        </w:rPr>
        <w:t xml:space="preserve"> numbers of </w:t>
      </w:r>
      <w:proofErr w:type="spellStart"/>
      <w:r w:rsidRPr="00556E43">
        <w:rPr>
          <w:rFonts w:asciiTheme="minorHAnsi" w:hAnsiTheme="minorHAnsi"/>
        </w:rPr>
        <w:t>supinated</w:t>
      </w:r>
      <w:proofErr w:type="spellEnd"/>
      <w:r w:rsidRPr="00556E43">
        <w:rPr>
          <w:rFonts w:asciiTheme="minorHAnsi" w:hAnsiTheme="minorHAnsi"/>
        </w:rPr>
        <w:t xml:space="preserve"> feet should be included, in order to add more significance to the results.</w:t>
      </w:r>
    </w:p>
    <w:p w:rsidR="00953E5C" w:rsidRDefault="00953E5C" w:rsidP="00953E5C">
      <w:pPr>
        <w:pStyle w:val="Heading1"/>
        <w:spacing w:line="360" w:lineRule="auto"/>
      </w:pPr>
      <w:bookmarkStart w:id="41" w:name="_Toc216677200"/>
      <w:r>
        <w:t>Conclusions</w:t>
      </w:r>
      <w:bookmarkEnd w:id="41"/>
    </w:p>
    <w:p w:rsidR="00953E5C" w:rsidRDefault="00953E5C" w:rsidP="00953E5C">
      <w:pPr>
        <w:spacing w:line="360" w:lineRule="auto"/>
        <w:rPr>
          <w:sz w:val="24"/>
          <w:szCs w:val="24"/>
        </w:rPr>
      </w:pPr>
      <w:r w:rsidRPr="00EB71A8">
        <w:rPr>
          <w:sz w:val="24"/>
          <w:szCs w:val="24"/>
        </w:rPr>
        <w:t>There appear</w:t>
      </w:r>
      <w:r>
        <w:rPr>
          <w:sz w:val="24"/>
          <w:szCs w:val="24"/>
        </w:rPr>
        <w:t>s</w:t>
      </w:r>
      <w:r w:rsidRPr="00EB71A8">
        <w:rPr>
          <w:sz w:val="24"/>
          <w:szCs w:val="24"/>
        </w:rPr>
        <w:t xml:space="preserve"> to be a relationship between</w:t>
      </w:r>
      <w:r>
        <w:rPr>
          <w:sz w:val="24"/>
          <w:szCs w:val="24"/>
        </w:rPr>
        <w:t xml:space="preserve"> </w:t>
      </w:r>
      <w:r w:rsidRPr="00EB71A8">
        <w:rPr>
          <w:sz w:val="24"/>
          <w:szCs w:val="24"/>
        </w:rPr>
        <w:t xml:space="preserve">FPI score and </w:t>
      </w:r>
      <w:r>
        <w:rPr>
          <w:sz w:val="24"/>
          <w:szCs w:val="24"/>
        </w:rPr>
        <w:t>injury incidence rate</w:t>
      </w:r>
      <w:r w:rsidRPr="00EB71A8" w:rsidDel="008F75B6">
        <w:rPr>
          <w:sz w:val="24"/>
          <w:szCs w:val="24"/>
        </w:rPr>
        <w:t xml:space="preserve"> </w:t>
      </w:r>
      <w:r w:rsidRPr="00EB71A8">
        <w:rPr>
          <w:sz w:val="24"/>
          <w:szCs w:val="24"/>
        </w:rPr>
        <w:t>and</w:t>
      </w:r>
      <w:r w:rsidRPr="008F75B6">
        <w:rPr>
          <w:sz w:val="24"/>
          <w:szCs w:val="24"/>
        </w:rPr>
        <w:t xml:space="preserve"> </w:t>
      </w:r>
      <w:r>
        <w:rPr>
          <w:sz w:val="24"/>
          <w:szCs w:val="24"/>
        </w:rPr>
        <w:t>severity in male and female recreational runners. However the relationship is more significant for positive FPI scores than for negative FPI scores. F</w:t>
      </w:r>
      <w:r w:rsidRPr="00B3206B">
        <w:rPr>
          <w:sz w:val="24"/>
          <w:szCs w:val="24"/>
        </w:rPr>
        <w:t>urther research is required to definitively show this</w:t>
      </w:r>
      <w:r>
        <w:rPr>
          <w:sz w:val="24"/>
          <w:szCs w:val="24"/>
        </w:rPr>
        <w:t xml:space="preserve"> because</w:t>
      </w:r>
      <w:r w:rsidRPr="00B3206B">
        <w:rPr>
          <w:sz w:val="24"/>
          <w:szCs w:val="24"/>
        </w:rPr>
        <w:t xml:space="preserve"> this study </w:t>
      </w:r>
      <w:r>
        <w:rPr>
          <w:sz w:val="24"/>
          <w:szCs w:val="24"/>
        </w:rPr>
        <w:t>has a number of</w:t>
      </w:r>
      <w:r w:rsidRPr="00B3206B">
        <w:rPr>
          <w:sz w:val="24"/>
          <w:szCs w:val="24"/>
        </w:rPr>
        <w:t xml:space="preserve"> methodological problems that </w:t>
      </w:r>
      <w:r>
        <w:rPr>
          <w:sz w:val="24"/>
          <w:szCs w:val="24"/>
        </w:rPr>
        <w:t>should</w:t>
      </w:r>
      <w:r w:rsidRPr="00B3206B">
        <w:rPr>
          <w:sz w:val="24"/>
          <w:szCs w:val="24"/>
        </w:rPr>
        <w:t xml:space="preserve"> be addressed before the results can be viewed with confidence. </w:t>
      </w:r>
    </w:p>
    <w:p w:rsidR="00953E5C" w:rsidRDefault="00953E5C" w:rsidP="00953E5C">
      <w:pPr>
        <w:spacing w:line="360" w:lineRule="auto"/>
        <w:rPr>
          <w:sz w:val="24"/>
          <w:szCs w:val="24"/>
        </w:rPr>
      </w:pPr>
      <w:r>
        <w:rPr>
          <w:sz w:val="24"/>
          <w:szCs w:val="24"/>
        </w:rPr>
        <w:t>F</w:t>
      </w:r>
      <w:r w:rsidRPr="00B3206B">
        <w:rPr>
          <w:sz w:val="24"/>
          <w:szCs w:val="24"/>
        </w:rPr>
        <w:t xml:space="preserve">urther research into FPI scoring </w:t>
      </w:r>
      <w:r>
        <w:rPr>
          <w:sz w:val="24"/>
          <w:szCs w:val="24"/>
        </w:rPr>
        <w:t>and its</w:t>
      </w:r>
      <w:r w:rsidRPr="00B3206B">
        <w:rPr>
          <w:sz w:val="24"/>
          <w:szCs w:val="24"/>
        </w:rPr>
        <w:t xml:space="preserve"> relation</w:t>
      </w:r>
      <w:r>
        <w:rPr>
          <w:sz w:val="24"/>
          <w:szCs w:val="24"/>
        </w:rPr>
        <w:t>ship</w:t>
      </w:r>
      <w:r w:rsidRPr="00B3206B">
        <w:rPr>
          <w:sz w:val="24"/>
          <w:szCs w:val="24"/>
        </w:rPr>
        <w:t xml:space="preserve"> to injury</w:t>
      </w:r>
      <w:r>
        <w:rPr>
          <w:sz w:val="24"/>
          <w:szCs w:val="24"/>
        </w:rPr>
        <w:t xml:space="preserve"> </w:t>
      </w:r>
      <w:r w:rsidRPr="00B3206B">
        <w:rPr>
          <w:sz w:val="24"/>
          <w:szCs w:val="24"/>
        </w:rPr>
        <w:t>could</w:t>
      </w:r>
      <w:r>
        <w:rPr>
          <w:sz w:val="24"/>
          <w:szCs w:val="24"/>
        </w:rPr>
        <w:t xml:space="preserve"> mean</w:t>
      </w:r>
      <w:r w:rsidRPr="00B3206B">
        <w:rPr>
          <w:sz w:val="24"/>
          <w:szCs w:val="24"/>
        </w:rPr>
        <w:t xml:space="preserve"> </w:t>
      </w:r>
      <w:r>
        <w:rPr>
          <w:sz w:val="24"/>
          <w:szCs w:val="24"/>
        </w:rPr>
        <w:t xml:space="preserve">that it becomes </w:t>
      </w:r>
      <w:r w:rsidRPr="00B3206B">
        <w:rPr>
          <w:sz w:val="24"/>
          <w:szCs w:val="24"/>
        </w:rPr>
        <w:t xml:space="preserve">a valuable tool that would be of benefit to the </w:t>
      </w:r>
      <w:r>
        <w:rPr>
          <w:sz w:val="24"/>
          <w:szCs w:val="24"/>
        </w:rPr>
        <w:t>o</w:t>
      </w:r>
      <w:r w:rsidRPr="00B3206B">
        <w:rPr>
          <w:sz w:val="24"/>
          <w:szCs w:val="24"/>
        </w:rPr>
        <w:t>steopathic community. FPI scoring is a quick and easy</w:t>
      </w:r>
      <w:r>
        <w:rPr>
          <w:sz w:val="24"/>
          <w:szCs w:val="24"/>
        </w:rPr>
        <w:t xml:space="preserve"> </w:t>
      </w:r>
      <w:r w:rsidRPr="00B3206B">
        <w:rPr>
          <w:sz w:val="24"/>
          <w:szCs w:val="24"/>
        </w:rPr>
        <w:t>method of foot assessment that provides useful clinical data about foot biomechanics without the need for expensive or complex equipment.</w:t>
      </w:r>
      <w:r>
        <w:rPr>
          <w:sz w:val="24"/>
          <w:szCs w:val="24"/>
        </w:rPr>
        <w:t xml:space="preserve"> </w:t>
      </w:r>
    </w:p>
    <w:p w:rsidR="00953E5C" w:rsidRDefault="00953E5C" w:rsidP="00953E5C">
      <w:pPr>
        <w:pStyle w:val="Heading1"/>
      </w:pPr>
      <w:r>
        <w:rPr>
          <w:sz w:val="24"/>
          <w:szCs w:val="24"/>
        </w:rPr>
        <w:br w:type="page"/>
      </w:r>
      <w:bookmarkStart w:id="42" w:name="_Toc216677201"/>
      <w:r>
        <w:lastRenderedPageBreak/>
        <w:t>Bibliography</w:t>
      </w:r>
      <w:bookmarkEnd w:id="42"/>
    </w:p>
    <w:p w:rsidR="00953E5C" w:rsidRDefault="007A16A5" w:rsidP="00953E5C">
      <w:pPr>
        <w:pStyle w:val="Bibliography"/>
        <w:rPr>
          <w:noProof/>
        </w:rPr>
      </w:pPr>
      <w:r>
        <w:fldChar w:fldCharType="begin"/>
      </w:r>
      <w:r w:rsidR="00953E5C">
        <w:instrText xml:space="preserve"> BIBLIOGRAPHY  \l 2057 </w:instrText>
      </w:r>
      <w:r>
        <w:fldChar w:fldCharType="separate"/>
      </w:r>
      <w:r w:rsidR="00953E5C">
        <w:rPr>
          <w:noProof/>
        </w:rPr>
        <w:t xml:space="preserve">Adidas. (2006). </w:t>
      </w:r>
      <w:r w:rsidR="00953E5C">
        <w:rPr>
          <w:i/>
          <w:iCs/>
          <w:noProof/>
        </w:rPr>
        <w:t>The Running Market in the UK 2006.</w:t>
      </w:r>
      <w:r w:rsidR="00953E5C">
        <w:rPr>
          <w:noProof/>
        </w:rPr>
        <w:t xml:space="preserve"> London: Adidas internal publication.</w:t>
      </w:r>
    </w:p>
    <w:p w:rsidR="00953E5C" w:rsidRDefault="00953E5C" w:rsidP="00953E5C">
      <w:pPr>
        <w:pStyle w:val="Bibliography"/>
        <w:rPr>
          <w:noProof/>
        </w:rPr>
      </w:pPr>
      <w:r>
        <w:rPr>
          <w:noProof/>
        </w:rPr>
        <w:t xml:space="preserve">Chorley, J., Cianca, J., Divine, J., &amp; Hew, T. (2002). Baseline injury risk factors for runners starting a marathon training program. </w:t>
      </w:r>
      <w:r>
        <w:rPr>
          <w:i/>
          <w:iCs/>
          <w:noProof/>
        </w:rPr>
        <w:t>Clinical Journal of Sports Medicine</w:t>
      </w:r>
      <w:r>
        <w:rPr>
          <w:noProof/>
        </w:rPr>
        <w:t xml:space="preserve">, </w:t>
      </w:r>
      <w:r>
        <w:rPr>
          <w:i/>
          <w:iCs/>
          <w:noProof/>
        </w:rPr>
        <w:t>12</w:t>
      </w:r>
      <w:r>
        <w:rPr>
          <w:noProof/>
        </w:rPr>
        <w:t xml:space="preserve"> (1), 18-23.</w:t>
      </w:r>
    </w:p>
    <w:p w:rsidR="00953E5C" w:rsidRDefault="00953E5C" w:rsidP="00953E5C">
      <w:pPr>
        <w:pStyle w:val="Bibliography"/>
        <w:rPr>
          <w:noProof/>
        </w:rPr>
      </w:pPr>
      <w:r>
        <w:rPr>
          <w:noProof/>
        </w:rPr>
        <w:t xml:space="preserve">DiGiovanna, E., Schiowitz, S., &amp; Dowling, D. (Eds.). (2005). </w:t>
      </w:r>
      <w:r>
        <w:rPr>
          <w:i/>
          <w:iCs/>
          <w:noProof/>
        </w:rPr>
        <w:t>An Osteopathic Approach to Diagnosis and Treatment</w:t>
      </w:r>
      <w:r>
        <w:rPr>
          <w:noProof/>
        </w:rPr>
        <w:t xml:space="preserve"> (3rd ed.). Philidelphia: Lippincott Williams and Wilkins.</w:t>
      </w:r>
    </w:p>
    <w:p w:rsidR="00953E5C" w:rsidRDefault="00953E5C" w:rsidP="00953E5C">
      <w:pPr>
        <w:pStyle w:val="Bibliography"/>
        <w:rPr>
          <w:noProof/>
        </w:rPr>
      </w:pPr>
      <w:r>
        <w:rPr>
          <w:noProof/>
        </w:rPr>
        <w:t xml:space="preserve">Eisenhart, A. W., Gaeta, T. J., &amp; Yens, D. P. (2003). Osteopathic Manipulative Treatment in the Emergency Department for Patients With Acute Ankle Injuries. </w:t>
      </w:r>
      <w:r>
        <w:rPr>
          <w:i/>
          <w:iCs/>
          <w:noProof/>
        </w:rPr>
        <w:t>JAOA</w:t>
      </w:r>
      <w:r>
        <w:rPr>
          <w:noProof/>
        </w:rPr>
        <w:t xml:space="preserve">, </w:t>
      </w:r>
      <w:r>
        <w:rPr>
          <w:i/>
          <w:iCs/>
          <w:noProof/>
        </w:rPr>
        <w:t>103</w:t>
      </w:r>
      <w:r>
        <w:rPr>
          <w:noProof/>
        </w:rPr>
        <w:t xml:space="preserve"> (9), 417-421.</w:t>
      </w:r>
    </w:p>
    <w:p w:rsidR="00953E5C" w:rsidRDefault="00953E5C" w:rsidP="00953E5C">
      <w:pPr>
        <w:pStyle w:val="Bibliography"/>
        <w:rPr>
          <w:noProof/>
        </w:rPr>
      </w:pPr>
      <w:r>
        <w:rPr>
          <w:noProof/>
        </w:rPr>
        <w:t xml:space="preserve">Huson, A. (1997). Kinematic models and the human pelvis. In A. Vleeming, V. Mooney, T. Dorman, C. Snijers, &amp; R. Stoeckart, </w:t>
      </w:r>
      <w:r>
        <w:rPr>
          <w:i/>
          <w:iCs/>
          <w:noProof/>
        </w:rPr>
        <w:t>Movement, Stability and Lower Back Pain, the essential role of the pelvis</w:t>
      </w:r>
      <w:r>
        <w:rPr>
          <w:noProof/>
        </w:rPr>
        <w:t xml:space="preserve"> (pp. 123-131). New York: Churchill Livingstone.</w:t>
      </w:r>
    </w:p>
    <w:p w:rsidR="00953E5C" w:rsidRDefault="00953E5C" w:rsidP="00953E5C">
      <w:pPr>
        <w:pStyle w:val="Bibliography"/>
        <w:rPr>
          <w:noProof/>
        </w:rPr>
      </w:pPr>
      <w:r>
        <w:rPr>
          <w:noProof/>
        </w:rPr>
        <w:t xml:space="preserve">Kaufman, K., Brodine, C., Shaffer, R., Johnson, C., &amp; Cullison, C. (1999). The Effect of Foot Structure and Range of Motion on Musculoskeletal Overuse Injuries. </w:t>
      </w:r>
      <w:r>
        <w:rPr>
          <w:i/>
          <w:iCs/>
          <w:noProof/>
        </w:rPr>
        <w:t>The American Journal of Sports Medicine</w:t>
      </w:r>
      <w:r>
        <w:rPr>
          <w:noProof/>
        </w:rPr>
        <w:t xml:space="preserve">, </w:t>
      </w:r>
      <w:r>
        <w:rPr>
          <w:i/>
          <w:iCs/>
          <w:noProof/>
        </w:rPr>
        <w:t>27</w:t>
      </w:r>
      <w:r>
        <w:rPr>
          <w:noProof/>
        </w:rPr>
        <w:t>, 585-593.</w:t>
      </w:r>
    </w:p>
    <w:p w:rsidR="00953E5C" w:rsidRDefault="00953E5C" w:rsidP="00953E5C">
      <w:pPr>
        <w:pStyle w:val="Bibliography"/>
        <w:rPr>
          <w:noProof/>
        </w:rPr>
      </w:pPr>
      <w:r>
        <w:rPr>
          <w:noProof/>
        </w:rPr>
        <w:t xml:space="preserve">Keenan, Redmond, Horton, &amp; Conaghan. (2006). The Foot Posture Index: Rasch analysis of a novel, foot specific outcome measure. </w:t>
      </w:r>
      <w:r>
        <w:rPr>
          <w:i/>
          <w:iCs/>
          <w:noProof/>
        </w:rPr>
        <w:t>Rheumatology</w:t>
      </w:r>
      <w:r>
        <w:rPr>
          <w:noProof/>
        </w:rPr>
        <w:t xml:space="preserve">, </w:t>
      </w:r>
      <w:r>
        <w:rPr>
          <w:i/>
          <w:iCs/>
          <w:noProof/>
        </w:rPr>
        <w:t>1</w:t>
      </w:r>
      <w:r>
        <w:rPr>
          <w:noProof/>
        </w:rPr>
        <w:t xml:space="preserve"> (45), 146.</w:t>
      </w:r>
    </w:p>
    <w:p w:rsidR="00953E5C" w:rsidRDefault="00953E5C" w:rsidP="00953E5C">
      <w:pPr>
        <w:pStyle w:val="Bibliography"/>
        <w:rPr>
          <w:noProof/>
        </w:rPr>
      </w:pPr>
      <w:r>
        <w:rPr>
          <w:noProof/>
        </w:rPr>
        <w:t xml:space="preserve">Kuchera, W., &amp; Kuchera, M. (1991). </w:t>
      </w:r>
      <w:r>
        <w:rPr>
          <w:i/>
          <w:iCs/>
          <w:noProof/>
        </w:rPr>
        <w:t>Osteopathic Principles in Practice</w:t>
      </w:r>
      <w:r>
        <w:rPr>
          <w:noProof/>
        </w:rPr>
        <w:t xml:space="preserve"> (2nd ed.). Columbus, Ohio: Greyden Press.</w:t>
      </w:r>
    </w:p>
    <w:p w:rsidR="00953E5C" w:rsidRDefault="00953E5C" w:rsidP="00953E5C">
      <w:pPr>
        <w:pStyle w:val="Bibliography"/>
        <w:rPr>
          <w:noProof/>
        </w:rPr>
      </w:pPr>
      <w:r>
        <w:rPr>
          <w:noProof/>
        </w:rPr>
        <w:t xml:space="preserve">Lun, V., Meeuwisse, W., Stergiou, P., &amp; Stefanyshyn, D. (2004). Relation between running injury and static lower limb alignment in recreational runners. </w:t>
      </w:r>
      <w:r>
        <w:rPr>
          <w:i/>
          <w:iCs/>
          <w:noProof/>
        </w:rPr>
        <w:t>British Journal of Sports Medicine</w:t>
      </w:r>
      <w:r>
        <w:rPr>
          <w:noProof/>
        </w:rPr>
        <w:t xml:space="preserve">, </w:t>
      </w:r>
      <w:r>
        <w:rPr>
          <w:i/>
          <w:iCs/>
          <w:noProof/>
        </w:rPr>
        <w:t>38</w:t>
      </w:r>
      <w:r>
        <w:rPr>
          <w:noProof/>
        </w:rPr>
        <w:t>, 576-580.</w:t>
      </w:r>
    </w:p>
    <w:p w:rsidR="00953E5C" w:rsidRDefault="00953E5C" w:rsidP="00953E5C">
      <w:pPr>
        <w:pStyle w:val="Bibliography"/>
        <w:rPr>
          <w:noProof/>
        </w:rPr>
      </w:pPr>
      <w:r>
        <w:rPr>
          <w:noProof/>
        </w:rPr>
        <w:t xml:space="preserve">Major, N., &amp; Helms, C. (2000). Sacral Stress Fractures in Long-Distance Runners. </w:t>
      </w:r>
      <w:r>
        <w:rPr>
          <w:i/>
          <w:iCs/>
          <w:noProof/>
        </w:rPr>
        <w:t>ARJ</w:t>
      </w:r>
      <w:r>
        <w:rPr>
          <w:noProof/>
        </w:rPr>
        <w:t>(174).</w:t>
      </w:r>
    </w:p>
    <w:p w:rsidR="00953E5C" w:rsidRDefault="00953E5C" w:rsidP="00953E5C">
      <w:pPr>
        <w:pStyle w:val="Bibliography"/>
        <w:rPr>
          <w:noProof/>
        </w:rPr>
      </w:pPr>
      <w:r>
        <w:rPr>
          <w:noProof/>
        </w:rPr>
        <w:t xml:space="preserve">Marti, B., Vader, J. P., Minder, C. E., &amp; Abelin, T. (1988). On the epidemiology of running injuries. </w:t>
      </w:r>
      <w:r>
        <w:rPr>
          <w:i/>
          <w:iCs/>
          <w:noProof/>
        </w:rPr>
        <w:t>American Journal of Sports Medicine</w:t>
      </w:r>
      <w:r>
        <w:rPr>
          <w:noProof/>
        </w:rPr>
        <w:t xml:space="preserve">, </w:t>
      </w:r>
      <w:r>
        <w:rPr>
          <w:i/>
          <w:iCs/>
          <w:noProof/>
        </w:rPr>
        <w:t>16</w:t>
      </w:r>
      <w:r>
        <w:rPr>
          <w:noProof/>
        </w:rPr>
        <w:t>, 285-294.</w:t>
      </w:r>
    </w:p>
    <w:p w:rsidR="00953E5C" w:rsidRDefault="00953E5C" w:rsidP="00953E5C">
      <w:pPr>
        <w:pStyle w:val="Bibliography"/>
        <w:rPr>
          <w:noProof/>
        </w:rPr>
      </w:pPr>
      <w:r>
        <w:rPr>
          <w:noProof/>
        </w:rPr>
        <w:t xml:space="preserve">Neely, F. (1998). Biomechanical Risk Factors for Exercise-Related Lower Limb Injuries. </w:t>
      </w:r>
      <w:r>
        <w:rPr>
          <w:i/>
          <w:iCs/>
          <w:noProof/>
        </w:rPr>
        <w:t>Sports Medicine</w:t>
      </w:r>
      <w:r>
        <w:rPr>
          <w:noProof/>
        </w:rPr>
        <w:t xml:space="preserve">, </w:t>
      </w:r>
      <w:r>
        <w:rPr>
          <w:i/>
          <w:iCs/>
          <w:noProof/>
        </w:rPr>
        <w:t>26</w:t>
      </w:r>
      <w:r>
        <w:rPr>
          <w:noProof/>
        </w:rPr>
        <w:t xml:space="preserve"> (6), 395-413.</w:t>
      </w:r>
    </w:p>
    <w:p w:rsidR="00953E5C" w:rsidRDefault="00953E5C" w:rsidP="00953E5C">
      <w:pPr>
        <w:pStyle w:val="Bibliography"/>
        <w:rPr>
          <w:noProof/>
        </w:rPr>
      </w:pPr>
      <w:r>
        <w:rPr>
          <w:noProof/>
        </w:rPr>
        <w:t xml:space="preserve">Rauh, Koepsell, Rivara, Margherita, &amp; Rice. (2006). Epidemiology of Musculoskeletal Injuries among High School Cross-Country. </w:t>
      </w:r>
      <w:r>
        <w:rPr>
          <w:i/>
          <w:iCs/>
          <w:noProof/>
        </w:rPr>
        <w:t>American Journal of Epidemiology</w:t>
      </w:r>
      <w:r>
        <w:rPr>
          <w:noProof/>
        </w:rPr>
        <w:t>(163), 151-159.</w:t>
      </w:r>
    </w:p>
    <w:p w:rsidR="00953E5C" w:rsidRDefault="00953E5C" w:rsidP="00953E5C">
      <w:pPr>
        <w:pStyle w:val="Bibliography"/>
        <w:rPr>
          <w:noProof/>
        </w:rPr>
      </w:pPr>
      <w:r>
        <w:rPr>
          <w:noProof/>
        </w:rPr>
        <w:t xml:space="preserve">Razeghi, M., &amp; Batt, M. (2002). Foot type classification: a critical review of current methods. </w:t>
      </w:r>
      <w:r>
        <w:rPr>
          <w:i/>
          <w:iCs/>
          <w:noProof/>
        </w:rPr>
        <w:t>Gait &amp; Posture</w:t>
      </w:r>
      <w:r>
        <w:rPr>
          <w:noProof/>
        </w:rPr>
        <w:t>(15), 282–291.</w:t>
      </w:r>
    </w:p>
    <w:p w:rsidR="00953E5C" w:rsidRDefault="00953E5C" w:rsidP="00953E5C">
      <w:pPr>
        <w:pStyle w:val="Bibliography"/>
        <w:rPr>
          <w:noProof/>
        </w:rPr>
      </w:pPr>
      <w:r>
        <w:rPr>
          <w:noProof/>
        </w:rPr>
        <w:t xml:space="preserve">Redmond, A., Crosbie, J., &amp; Ouvier, R. (2006). Development and validation of a novel rating system for scoring standing foot posture: The Foot Posture Index. </w:t>
      </w:r>
      <w:r>
        <w:rPr>
          <w:i/>
          <w:iCs/>
          <w:noProof/>
        </w:rPr>
        <w:t>Clinical Biomechanics</w:t>
      </w:r>
      <w:r>
        <w:rPr>
          <w:noProof/>
        </w:rPr>
        <w:t>(21), 89-98.</w:t>
      </w:r>
    </w:p>
    <w:p w:rsidR="00596BEB" w:rsidRDefault="007A16A5" w:rsidP="00953E5C">
      <w:r>
        <w:fldChar w:fldCharType="end"/>
      </w:r>
    </w:p>
    <w:sectPr w:rsidR="00596BEB" w:rsidSect="00596B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DejaVu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6191A"/>
    <w:multiLevelType w:val="hybridMultilevel"/>
    <w:tmpl w:val="596C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C432A"/>
    <w:multiLevelType w:val="hybridMultilevel"/>
    <w:tmpl w:val="BAE8F9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30C221D"/>
    <w:multiLevelType w:val="hybridMultilevel"/>
    <w:tmpl w:val="F0E4EF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5F19BC"/>
    <w:multiLevelType w:val="hybridMultilevel"/>
    <w:tmpl w:val="29B2E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3E5C"/>
    <w:rsid w:val="001D1B60"/>
    <w:rsid w:val="00596BEB"/>
    <w:rsid w:val="00731205"/>
    <w:rsid w:val="007A16A5"/>
    <w:rsid w:val="00953E5C"/>
    <w:rsid w:val="00AD02AF"/>
    <w:rsid w:val="00D820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5C"/>
  </w:style>
  <w:style w:type="paragraph" w:styleId="Heading1">
    <w:name w:val="heading 1"/>
    <w:basedOn w:val="Normal"/>
    <w:next w:val="Normal"/>
    <w:link w:val="Heading1Char"/>
    <w:uiPriority w:val="9"/>
    <w:qFormat/>
    <w:rsid w:val="00953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E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3E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E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E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3E5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53E5C"/>
    <w:pPr>
      <w:widowControl w:val="0"/>
      <w:suppressAutoHyphens/>
      <w:spacing w:after="0" w:line="240" w:lineRule="auto"/>
      <w:ind w:left="720"/>
      <w:contextualSpacing/>
    </w:pPr>
    <w:rPr>
      <w:rFonts w:ascii="Times" w:eastAsia="DejaVuSans" w:hAnsi="Times" w:cs="Times New Roman"/>
      <w:kern w:val="1"/>
      <w:sz w:val="24"/>
      <w:szCs w:val="24"/>
      <w:lang w:eastAsia="en-GB"/>
    </w:rPr>
  </w:style>
  <w:style w:type="paragraph" w:styleId="Caption">
    <w:name w:val="caption"/>
    <w:basedOn w:val="Normal"/>
    <w:next w:val="Normal"/>
    <w:uiPriority w:val="35"/>
    <w:unhideWhenUsed/>
    <w:qFormat/>
    <w:rsid w:val="00953E5C"/>
    <w:pPr>
      <w:spacing w:line="240" w:lineRule="auto"/>
    </w:pPr>
    <w:rPr>
      <w:b/>
      <w:bCs/>
      <w:color w:val="4F81BD" w:themeColor="accent1"/>
      <w:sz w:val="18"/>
      <w:szCs w:val="18"/>
    </w:rPr>
  </w:style>
  <w:style w:type="table" w:styleId="TableGrid">
    <w:name w:val="Table Grid"/>
    <w:basedOn w:val="TableNormal"/>
    <w:rsid w:val="00953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953E5C"/>
    <w:pPr>
      <w:spacing w:after="0" w:line="240" w:lineRule="auto"/>
    </w:pPr>
  </w:style>
  <w:style w:type="character" w:customStyle="1" w:styleId="NoSpacingChar">
    <w:name w:val="No Spacing Char"/>
    <w:basedOn w:val="DefaultParagraphFont"/>
    <w:link w:val="NoSpacing"/>
    <w:uiPriority w:val="1"/>
    <w:rsid w:val="00953E5C"/>
  </w:style>
  <w:style w:type="paragraph" w:styleId="Bibliography">
    <w:name w:val="Bibliography"/>
    <w:basedOn w:val="Normal"/>
    <w:next w:val="Normal"/>
    <w:uiPriority w:val="37"/>
    <w:unhideWhenUsed/>
    <w:rsid w:val="00953E5C"/>
  </w:style>
  <w:style w:type="paragraph" w:styleId="BalloonText">
    <w:name w:val="Balloon Text"/>
    <w:basedOn w:val="Normal"/>
    <w:link w:val="BalloonTextChar"/>
    <w:uiPriority w:val="99"/>
    <w:semiHidden/>
    <w:unhideWhenUsed/>
    <w:rsid w:val="00953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Adi06</b:Tag>
    <b:SourceType>Report</b:SourceType>
    <b:Guid>{890E6822-14DA-41B2-AB20-A23183C8A0AE}</b:Guid>
    <b:LCID>0</b:LCID>
    <b:Author>
      <b:Author>
        <b:Corporate>Adidas</b:Corporate>
      </b:Author>
    </b:Author>
    <b:Title>The Running Market in the UK 2006</b:Title>
    <b:City>London</b:City>
    <b:Year>2006</b:Year>
    <b:Publisher>Adidas internal publication</b:Publisher>
    <b:RefOrder>1</b:RefOrder>
  </b:Source>
  <b:Source>
    <b:Tag>Lun04</b:Tag>
    <b:SourceType>JournalArticle</b:SourceType>
    <b:Guid>{EAB13798-3C85-436B-A5A4-86B5516EE0A0}</b:Guid>
    <b:LCID>0</b:LCID>
    <b:Author>
      <b:Author>
        <b:NameList>
          <b:Person>
            <b:Last>Lun</b:Last>
            <b:First>V</b:First>
          </b:Person>
          <b:Person>
            <b:Last>Meeuwisse</b:Last>
            <b:First>W</b:First>
          </b:Person>
          <b:Person>
            <b:Last>Stergiou</b:Last>
            <b:First>P</b:First>
          </b:Person>
          <b:Person>
            <b:Last>Stefanyshyn</b:Last>
            <b:First>D</b:First>
          </b:Person>
        </b:NameList>
      </b:Author>
    </b:Author>
    <b:Title>Relation between running injury and static lower limb alignment in recreational runners</b:Title>
    <b:JournalName>British Journal of Sports Medicine</b:JournalName>
    <b:Year>2004</b:Year>
    <b:Pages>576-580</b:Pages>
    <b:Volume>38</b:Volume>
    <b:RefOrder>2</b:RefOrder>
  </b:Source>
  <b:Source>
    <b:Tag>Maj00</b:Tag>
    <b:SourceType>JournalArticle</b:SourceType>
    <b:Guid>{86C98F15-E7CF-4CD7-99DB-64BC3163B18B}</b:Guid>
    <b:LCID>0</b:LCID>
    <b:Author>
      <b:Author>
        <b:NameList>
          <b:Person>
            <b:Last>Major</b:Last>
            <b:First>Nancy</b:First>
          </b:Person>
          <b:Person>
            <b:Last>Helms</b:Last>
            <b:First>Clyde</b:First>
          </b:Person>
        </b:NameList>
      </b:Author>
    </b:Author>
    <b:Title>Sacral Stress Fractures in Long-Distance Runners</b:Title>
    <b:Year>2000</b:Year>
    <b:Issue>174</b:Issue>
    <b:JournalName>ARJ</b:JournalName>
    <b:RefOrder>3</b:RefOrder>
  </b:Source>
  <b:Source>
    <b:Tag>Cho02</b:Tag>
    <b:SourceType>JournalArticle</b:SourceType>
    <b:Guid>{C3BA6C4C-37BE-454F-ACD8-9FE97B253E1D}</b:Guid>
    <b:LCID>0</b:LCID>
    <b:Author>
      <b:Author>
        <b:NameList>
          <b:Person>
            <b:Last>Chorley</b:Last>
            <b:First>JN</b:First>
          </b:Person>
          <b:Person>
            <b:Last>Cianca</b:Last>
            <b:First>JC</b:First>
          </b:Person>
          <b:Person>
            <b:Last>Divine</b:Last>
            <b:First>JG</b:First>
          </b:Person>
          <b:Person>
            <b:Last>Hew</b:Last>
            <b:First>TD</b:First>
          </b:Person>
        </b:NameList>
      </b:Author>
    </b:Author>
    <b:Title>Baseline injury risk factors for runners starting a marathon training program.</b:Title>
    <b:JournalName>Clinical Journal of Sports Medicine</b:JournalName>
    <b:Year>2002</b:Year>
    <b:Pages>18-23</b:Pages>
    <b:Month>Jan</b:Month>
    <b:Volume>12</b:Volume>
    <b:Issue>1</b:Issue>
    <b:RefOrder>4</b:RefOrder>
  </b:Source>
  <b:Source>
    <b:Tag>Nee98</b:Tag>
    <b:SourceType>JournalArticle</b:SourceType>
    <b:Guid>{4438CD97-4C64-4825-8FAA-C2BC828EA39C}</b:Guid>
    <b:LCID>0</b:LCID>
    <b:Author>
      <b:Author>
        <b:NameList>
          <b:Person>
            <b:Last>Neely</b:Last>
            <b:First>F</b:First>
          </b:Person>
        </b:NameList>
      </b:Author>
    </b:Author>
    <b:Title>Biomechanical Risk Factors for Exercise-Related Lower Limb Injuries</b:Title>
    <b:Year>1998</b:Year>
    <b:JournalName>Sports Medicine</b:JournalName>
    <b:Pages>395-413</b:Pages>
    <b:Volume>26</b:Volume>
    <b:Issue>6</b:Issue>
    <b:RefOrder>5</b:RefOrder>
  </b:Source>
  <b:Source>
    <b:Tag>The99</b:Tag>
    <b:SourceType>JournalArticle</b:SourceType>
    <b:Guid>{25C98A74-8863-47E1-8628-B72F6753D2E5}</b:Guid>
    <b:LCID>0</b:LCID>
    <b:Title>The Effect of Foot Structure and Range of Motion on Musculoskeletal Overuse Injuries</b:Title>
    <b:Year>1999</b:Year>
    <b:Volume>27</b:Volume>
    <b:Pages>585-593</b:Pages>
    <b:JournalName>The American Journal of Sports Medicine</b:JournalName>
    <b:Author>
      <b:Author>
        <b:NameList>
          <b:Person>
            <b:Last>Kaufman</b:Last>
            <b:First>K</b:First>
          </b:Person>
          <b:Person>
            <b:Last>Brodine</b:Last>
            <b:First>C</b:First>
          </b:Person>
          <b:Person>
            <b:Last>Shaffer</b:Last>
            <b:First>R</b:First>
          </b:Person>
          <b:Person>
            <b:Last>Johnson</b:Last>
            <b:First>C</b:First>
          </b:Person>
          <b:Person>
            <b:Last>Cullison</b:Last>
            <b:First>C</b:First>
          </b:Person>
        </b:NameList>
      </b:Author>
    </b:Author>
    <b:RefOrder>6</b:RefOrder>
  </b:Source>
  <b:Source>
    <b:Tag>Ber88</b:Tag>
    <b:SourceType>JournalArticle</b:SourceType>
    <b:Guid>{1723F554-33D1-4EE9-9536-AB175DB44025}</b:Guid>
    <b:LCID>0</b:LCID>
    <b:Author>
      <b:Author>
        <b:NameList>
          <b:Person>
            <b:Last>Marti</b:Last>
            <b:First>Bernard</b:First>
          </b:Person>
          <b:Person>
            <b:Last>Vader</b:Last>
            <b:First>John</b:First>
            <b:Middle>Paul</b:Middle>
          </b:Person>
          <b:Person>
            <b:Last>Minder</b:Last>
            <b:First>Christoph</b:First>
            <b:Middle>E.</b:Middle>
          </b:Person>
          <b:Person>
            <b:Last>Abelin</b:Last>
            <b:First>Theodor</b:First>
          </b:Person>
        </b:NameList>
      </b:Author>
    </b:Author>
    <b:Title>On the epidemiology of running injuries</b:Title>
    <b:JournalName>American Journal of Sports Medicine</b:JournalName>
    <b:Year>1988</b:Year>
    <b:Pages>285-294</b:Pages>
    <b:Volume>16</b:Volume>
    <b:RefOrder>7</b:RefOrder>
  </b:Source>
  <b:Source>
    <b:Tag>DiG</b:Tag>
    <b:SourceType>Book</b:SourceType>
    <b:Guid>{09BF673F-C5AD-47AB-B098-D71D25A7D307}</b:Guid>
    <b:LCID>0</b:LCID>
    <b:Author>
      <b:Editor>
        <b:NameList>
          <b:Person>
            <b:Last>DiGiovanna</b:Last>
            <b:First>E</b:First>
          </b:Person>
          <b:Person>
            <b:Last>Schiowitz</b:Last>
            <b:First>S</b:First>
          </b:Person>
          <b:Person>
            <b:Last>Dowling</b:Last>
            <b:First>D</b:First>
          </b:Person>
        </b:NameList>
      </b:Editor>
    </b:Author>
    <b:Title>An Osteopathic Approach to Diagnosis and Treatment</b:Title>
    <b:Year>2005</b:Year>
    <b:City>Philidelphia</b:City>
    <b:Publisher>Lippincott Williams and Wilkins</b:Publisher>
    <b:Edition>3rd</b:Edition>
    <b:RefOrder>8</b:RefOrder>
  </b:Source>
  <b:Source>
    <b:Tag>Eis03</b:Tag>
    <b:SourceType>JournalArticle</b:SourceType>
    <b:Guid>{163EB1CA-82B0-4D91-9C10-30DA2AD4F75B}</b:Guid>
    <b:LCID>0</b:LCID>
    <b:Author>
      <b:Author>
        <b:NameList>
          <b:Person>
            <b:Last>Eisenhart</b:Last>
            <b:First>A</b:First>
            <b:Middle>W</b:Middle>
          </b:Person>
          <b:Person>
            <b:Last>Gaeta</b:Last>
            <b:First>T</b:First>
            <b:Middle>J</b:Middle>
          </b:Person>
          <b:Person>
            <b:Last>Yens</b:Last>
            <b:First>D</b:First>
            <b:Middle>P</b:Middle>
          </b:Person>
        </b:NameList>
      </b:Author>
    </b:Author>
    <b:Title>Osteopathic Manipulative Treatment in the Emergency Department for Patients With Acute Ankle Injuries</b:Title>
    <b:JournalName>JAOA</b:JournalName>
    <b:Year>2003</b:Year>
    <b:Pages>417-421</b:Pages>
    <b:Month>September</b:Month>
    <b:Volume>103</b:Volume>
    <b:Issue>9</b:Issue>
    <b:RefOrder>9</b:RefOrder>
  </b:Source>
  <b:Source>
    <b:Tag>Wil91</b:Tag>
    <b:SourceType>Book</b:SourceType>
    <b:Guid>{D3F016D5-3718-47D1-8C26-021BF012632F}</b:Guid>
    <b:LCID>2057</b:LCID>
    <b:Author>
      <b:Author>
        <b:NameList>
          <b:Person>
            <b:Last>Kuchera</b:Last>
            <b:First>William</b:First>
          </b:Person>
          <b:Person>
            <b:Last>Kuchera</b:Last>
            <b:First>Michael</b:First>
          </b:Person>
        </b:NameList>
      </b:Author>
    </b:Author>
    <b:Title>Osteopathic Principles in Practice</b:Title>
    <b:Year>1991</b:Year>
    <b:City>Columbus</b:City>
    <b:Publisher>Greyden Press</b:Publisher>
    <b:StateProvince>Ohio</b:StateProvince>
    <b:Edition>2nd</b:Edition>
    <b:RefOrder>10</b:RefOrder>
  </b:Source>
  <b:Source>
    <b:Tag>Raz02</b:Tag>
    <b:SourceType>JournalArticle</b:SourceType>
    <b:Guid>{E67FFA02-6F0D-4856-896B-179F88FC107A}</b:Guid>
    <b:LCID>0</b:LCID>
    <b:Author>
      <b:Author>
        <b:NameList>
          <b:Person>
            <b:Last>Razeghi</b:Last>
            <b:First>M</b:First>
          </b:Person>
          <b:Person>
            <b:Last>Batt</b:Last>
            <b:First>M</b:First>
          </b:Person>
        </b:NameList>
      </b:Author>
    </b:Author>
    <b:Title>Foot type classification: a critical review of current methods.</b:Title>
    <b:Year>2002</b:Year>
    <b:Issue>15</b:Issue>
    <b:JournalName>Gait &amp; Posture</b:JournalName>
    <b:Pages>282–291</b:Pages>
    <b:RefOrder>11</b:RefOrder>
  </b:Source>
  <b:Source>
    <b:Tag>Red06</b:Tag>
    <b:SourceType>JournalArticle</b:SourceType>
    <b:Guid>{54B9528B-4523-4B04-9B28-79DDF8EF1F46}</b:Guid>
    <b:LCID>0</b:LCID>
    <b:Author>
      <b:Author>
        <b:NameList>
          <b:Person>
            <b:Last>Redmond</b:Last>
            <b:First>Anthony</b:First>
          </b:Person>
          <b:Person>
            <b:Last>Crosbie</b:Last>
            <b:First>Jack</b:First>
          </b:Person>
          <b:Person>
            <b:Last>Ouvier</b:Last>
            <b:First>Robert</b:First>
          </b:Person>
        </b:NameList>
      </b:Author>
    </b:Author>
    <b:Title>Development and validation of a novel rating system for scoring standing foot posture: The Foot Posture Index</b:Title>
    <b:Year>2006</b:Year>
    <b:Issue>21</b:Issue>
    <b:JournalName>Clinical Biomechanics</b:JournalName>
    <b:Pages>89-98</b:Pages>
    <b:RefOrder>12</b:RefOrder>
  </b:Source>
  <b:Source>
    <b:Tag>Hus97</b:Tag>
    <b:SourceType>BookSection</b:SourceType>
    <b:Guid>{6A1BE6E7-03B9-4694-A8D0-09E9DCD02125}</b:Guid>
    <b:LCID>0</b:LCID>
    <b:Author>
      <b:Author>
        <b:NameList>
          <b:Person>
            <b:Last>Huson</b:Last>
            <b:First>A</b:First>
          </b:Person>
        </b:NameList>
      </b:Author>
      <b:BookAuthor>
        <b:NameList>
          <b:Person>
            <b:Last>Vleeming</b:Last>
            <b:First>A</b:First>
          </b:Person>
          <b:Person>
            <b:Last>Mooney</b:Last>
            <b:First>V</b:First>
          </b:Person>
          <b:Person>
            <b:Last>Dorman</b:Last>
            <b:First>T</b:First>
          </b:Person>
          <b:Person>
            <b:Last>Snijers</b:Last>
            <b:First>C</b:First>
          </b:Person>
          <b:Person>
            <b:Last>Stoeckart</b:Last>
            <b:First>R</b:First>
          </b:Person>
        </b:NameList>
      </b:BookAuthor>
    </b:Author>
    <b:Title>Kinematic models and the human pelvis</b:Title>
    <b:Year>1997</b:Year>
    <b:Publisher>Churchill Livingstone</b:Publisher>
    <b:City>New York</b:City>
    <b:BookTitle>Movement, Stability and Lower Back Pain, the essential role of the pelvis</b:BookTitle>
    <b:Pages>123-131</b:Pages>
    <b:RefOrder>13</b:RefOrder>
  </b:Source>
  <b:Source>
    <b:Tag>Kee06</b:Tag>
    <b:SourceType>JournalArticle</b:SourceType>
    <b:Guid>{9362F614-654F-4791-BA08-F3CD06A71FBA}</b:Guid>
    <b:LCID>0</b:LCID>
    <b:Author>
      <b:Author>
        <b:NameList>
          <b:Person>
            <b:Last>Keenan</b:Last>
          </b:Person>
          <b:Person>
            <b:Last>Redmond</b:Last>
          </b:Person>
          <b:Person>
            <b:Last>Horton</b:Last>
          </b:Person>
          <b:Person>
            <b:Last>Conaghan</b:Last>
          </b:Person>
        </b:NameList>
      </b:Author>
    </b:Author>
    <b:Title>The Foot Posture Index: Rasch analysis of a novel, foot specific outcome measure.</b:Title>
    <b:Year>2006</b:Year>
    <b:Volume>1</b:Volume>
    <b:Issue>45</b:Issue>
    <b:JournalName>Rheumatology</b:JournalName>
    <b:Pages>146</b:Pages>
    <b:RefOrder>14</b:RefOrder>
  </b:Source>
  <b:Source>
    <b:Tag>Rau06</b:Tag>
    <b:SourceType>JournalArticle</b:SourceType>
    <b:Guid>{EE7E1630-6F17-49DF-93AB-551DE3DDD97F}</b:Guid>
    <b:LCID>0</b:LCID>
    <b:Author>
      <b:Author>
        <b:NameList>
          <b:Person>
            <b:Last>Rauh</b:Last>
          </b:Person>
          <b:Person>
            <b:Last>Koepsell</b:Last>
          </b:Person>
          <b:Person>
            <b:Last>Rivara</b:Last>
          </b:Person>
          <b:Person>
            <b:Last>Margherita</b:Last>
          </b:Person>
          <b:Person>
            <b:Last>Rice</b:Last>
          </b:Person>
        </b:NameList>
      </b:Author>
    </b:Author>
    <b:Title>Epidemiology of Musculoskeletal Injuries among High School Cross-Country</b:Title>
    <b:JournalName>American Journal of Epidemiology</b:JournalName>
    <b:Year>2006</b:Year>
    <b:Pages>151-159</b:Pages>
    <b:Issue>163</b:Issue>
    <b:RefOrder>15</b:RefOrder>
  </b:Source>
</b:Sources>
</file>

<file path=customXml/itemProps1.xml><?xml version="1.0" encoding="utf-8"?>
<ds:datastoreItem xmlns:ds="http://schemas.openxmlformats.org/officeDocument/2006/customXml" ds:itemID="{432CEA9A-5A13-4BCA-9EDC-57978F36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3522</Words>
  <Characters>20079</Characters>
  <Application>Microsoft Office Word</Application>
  <DocSecurity>0</DocSecurity>
  <Lines>167</Lines>
  <Paragraphs>47</Paragraphs>
  <ScaleCrop>false</ScaleCrop>
  <Company>Grizli777</Company>
  <LinksUpToDate>false</LinksUpToDate>
  <CharactersWithSpaces>23554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Jimmy</cp:lastModifiedBy>
  <cp:revision>3</cp:revision>
  <dcterms:created xsi:type="dcterms:W3CDTF">2009-12-08T00:02:00Z</dcterms:created>
  <dcterms:modified xsi:type="dcterms:W3CDTF">2009-12-12T15:48:00Z</dcterms:modified>
</cp:coreProperties>
</file>